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8CC45" w14:textId="77777777" w:rsidR="001B5C8D" w:rsidRPr="00364B21" w:rsidRDefault="001B5C8D" w:rsidP="001B5C8D">
      <w:pPr>
        <w:shd w:val="clear" w:color="auto" w:fill="FFFFFF" w:themeFill="background1"/>
        <w:tabs>
          <w:tab w:val="left" w:pos="1185"/>
        </w:tabs>
        <w:spacing w:line="276" w:lineRule="auto"/>
        <w:rPr>
          <w:b/>
          <w:sz w:val="32"/>
          <w:szCs w:val="20"/>
          <w:highlight w:val="yellow"/>
          <w:lang w:val="en-US"/>
        </w:rPr>
      </w:pPr>
      <w:r w:rsidRPr="00364B21">
        <w:rPr>
          <w:b/>
          <w:sz w:val="32"/>
          <w:szCs w:val="20"/>
          <w:lang w:val="en-US"/>
        </w:rPr>
        <w:t>US 181 Harbor Bridge</w:t>
      </w:r>
    </w:p>
    <w:p w14:paraId="0556DFAA" w14:textId="70CF3A32" w:rsidR="00A8401E" w:rsidRPr="008E237C" w:rsidRDefault="00A8401E" w:rsidP="00A8401E">
      <w:pPr>
        <w:tabs>
          <w:tab w:val="left" w:pos="1185"/>
        </w:tabs>
        <w:spacing w:line="276" w:lineRule="auto"/>
        <w:rPr>
          <w:b/>
          <w:sz w:val="28"/>
          <w:lang w:val="en-US"/>
        </w:rPr>
      </w:pPr>
      <w:r w:rsidRPr="008E237C">
        <w:rPr>
          <w:b/>
          <w:sz w:val="28"/>
          <w:lang w:val="en-US"/>
        </w:rPr>
        <w:t>America’s longest cable-stayed bridge</w:t>
      </w:r>
    </w:p>
    <w:p w14:paraId="79E89194" w14:textId="77777777" w:rsidR="00755B0B" w:rsidRDefault="00755B0B" w:rsidP="008E237C">
      <w:pPr>
        <w:spacing w:line="264" w:lineRule="auto"/>
        <w:rPr>
          <w:b/>
          <w:sz w:val="24"/>
          <w:szCs w:val="28"/>
          <w:lang w:val="en-US"/>
        </w:rPr>
      </w:pPr>
    </w:p>
    <w:p w14:paraId="0B8DBEF8" w14:textId="6B8B510D" w:rsidR="008E237C" w:rsidRPr="008E237C" w:rsidRDefault="008E237C" w:rsidP="008E237C">
      <w:pPr>
        <w:spacing w:line="264" w:lineRule="auto"/>
        <w:rPr>
          <w:b/>
          <w:szCs w:val="22"/>
          <w:lang w:val="en-US"/>
        </w:rPr>
      </w:pPr>
      <w:r w:rsidRPr="008E237C">
        <w:rPr>
          <w:b/>
          <w:szCs w:val="22"/>
          <w:lang w:val="en-US"/>
        </w:rPr>
        <w:t xml:space="preserve">Traffic in the USA has increased by 38.4% in the last 25 years, and along with it the importance of measures to create and maintain safe, efficient transport links. The city of Corpus Christi in Texas is rising to this challenge with the new US 181 Harbor Bridge, which will have </w:t>
      </w:r>
      <w:r w:rsidR="004D14BB">
        <w:rPr>
          <w:b/>
          <w:szCs w:val="22"/>
          <w:lang w:val="en-US"/>
        </w:rPr>
        <w:t xml:space="preserve">a </w:t>
      </w:r>
      <w:r w:rsidRPr="008E237C">
        <w:rPr>
          <w:b/>
          <w:szCs w:val="22"/>
          <w:lang w:val="en-US"/>
        </w:rPr>
        <w:t xml:space="preserve">considerably higher capacity than the structure it is replacing. </w:t>
      </w:r>
      <w:proofErr w:type="spellStart"/>
      <w:r w:rsidRPr="008E237C">
        <w:rPr>
          <w:b/>
          <w:szCs w:val="22"/>
          <w:lang w:val="en-US"/>
        </w:rPr>
        <w:t>Doka’s</w:t>
      </w:r>
      <w:proofErr w:type="spellEnd"/>
      <w:r w:rsidRPr="008E237C">
        <w:rPr>
          <w:b/>
          <w:szCs w:val="22"/>
          <w:lang w:val="en-US"/>
        </w:rPr>
        <w:t xml:space="preserve"> formwork expertise was called in to help build the </w:t>
      </w:r>
      <w:proofErr w:type="gramStart"/>
      <w:r w:rsidRPr="008E237C">
        <w:rPr>
          <w:b/>
          <w:szCs w:val="22"/>
          <w:lang w:val="en-US"/>
        </w:rPr>
        <w:t xml:space="preserve">164 </w:t>
      </w:r>
      <w:proofErr w:type="spellStart"/>
      <w:r w:rsidRPr="008E237C">
        <w:rPr>
          <w:b/>
          <w:szCs w:val="22"/>
          <w:lang w:val="en-US"/>
        </w:rPr>
        <w:t>metre</w:t>
      </w:r>
      <w:proofErr w:type="spellEnd"/>
      <w:proofErr w:type="gramEnd"/>
      <w:r w:rsidRPr="008E237C">
        <w:rPr>
          <w:b/>
          <w:szCs w:val="22"/>
          <w:lang w:val="en-US"/>
        </w:rPr>
        <w:t xml:space="preserve"> high pylons and over 100 piers.</w:t>
      </w:r>
    </w:p>
    <w:p w14:paraId="74C39642" w14:textId="5CA6C952" w:rsidR="001B5C8D" w:rsidRPr="008E237C" w:rsidRDefault="001B5C8D" w:rsidP="001B5C8D">
      <w:pPr>
        <w:spacing w:line="264" w:lineRule="auto"/>
        <w:rPr>
          <w:rFonts w:cs="Arial"/>
          <w:color w:val="auto"/>
          <w:szCs w:val="22"/>
          <w:lang w:val="en-US" w:eastAsia="de-DE"/>
        </w:rPr>
      </w:pPr>
    </w:p>
    <w:p w14:paraId="2EE3A3E4" w14:textId="4C687488" w:rsidR="008E237C" w:rsidRPr="008E237C" w:rsidRDefault="008E237C" w:rsidP="008E237C">
      <w:pPr>
        <w:spacing w:line="264" w:lineRule="auto"/>
        <w:rPr>
          <w:rFonts w:cs="Arial"/>
          <w:color w:val="auto"/>
          <w:szCs w:val="22"/>
          <w:lang w:val="en-US"/>
        </w:rPr>
      </w:pPr>
      <w:r w:rsidRPr="008E237C">
        <w:rPr>
          <w:color w:val="auto"/>
          <w:szCs w:val="22"/>
          <w:lang w:val="en-US"/>
        </w:rPr>
        <w:t>The Texas Department of Transport</w:t>
      </w:r>
      <w:r w:rsidR="00BC428D">
        <w:rPr>
          <w:color w:val="auto"/>
          <w:szCs w:val="22"/>
          <w:lang w:val="en-US"/>
        </w:rPr>
        <w:t>ation</w:t>
      </w:r>
      <w:r w:rsidRPr="008E237C">
        <w:rPr>
          <w:color w:val="auto"/>
          <w:szCs w:val="22"/>
          <w:lang w:val="en-US"/>
        </w:rPr>
        <w:t xml:space="preserve"> called for improvements to the transport corridor infrastructure in Corpus Christi, where U.S</w:t>
      </w:r>
      <w:r w:rsidR="00753E4B">
        <w:rPr>
          <w:color w:val="auto"/>
          <w:szCs w:val="22"/>
          <w:lang w:val="en-US"/>
        </w:rPr>
        <w:t>. Highway 181 crosses the harbo</w:t>
      </w:r>
      <w:r w:rsidRPr="008E237C">
        <w:rPr>
          <w:color w:val="auto"/>
          <w:szCs w:val="22"/>
          <w:lang w:val="en-US"/>
        </w:rPr>
        <w:t>r. The existing bridge is no longer able to meet requirements and will be demolished on completion of the new bridge. The construction project extends from the junction of Beach Avenue and U.S. 181 at the north of the bridge to the junction of Morgan Avenue and SH 286 at its southern end. With six traffic lanes, plus pedestrian and cycle lanes, the new bridge will be much better equipped for future traffic levels. It also has greater clearance for ships than the existing bridge, and this will open up new economic development possibili</w:t>
      </w:r>
      <w:r w:rsidR="00BF5614">
        <w:rPr>
          <w:color w:val="auto"/>
          <w:szCs w:val="22"/>
          <w:lang w:val="en-US"/>
        </w:rPr>
        <w:t>ties for Corpus Christi’s harbo</w:t>
      </w:r>
      <w:r w:rsidRPr="008E237C">
        <w:rPr>
          <w:color w:val="auto"/>
          <w:szCs w:val="22"/>
          <w:lang w:val="en-US"/>
        </w:rPr>
        <w:t>r.</w:t>
      </w:r>
    </w:p>
    <w:p w14:paraId="6E1321F7" w14:textId="77777777" w:rsidR="008E237C" w:rsidRPr="008E237C" w:rsidRDefault="008E237C" w:rsidP="008E237C">
      <w:pPr>
        <w:spacing w:line="264" w:lineRule="auto"/>
        <w:rPr>
          <w:rFonts w:cs="Arial"/>
          <w:color w:val="auto"/>
          <w:szCs w:val="22"/>
          <w:lang w:val="en-US" w:eastAsia="de-DE"/>
        </w:rPr>
      </w:pPr>
    </w:p>
    <w:p w14:paraId="6F0AED26" w14:textId="1FECB0FD" w:rsidR="008E237C" w:rsidRPr="008E237C" w:rsidRDefault="008E237C" w:rsidP="008E237C">
      <w:pPr>
        <w:spacing w:line="264" w:lineRule="auto"/>
        <w:rPr>
          <w:rFonts w:cs="Arial"/>
          <w:color w:val="auto"/>
          <w:szCs w:val="22"/>
          <w:lang w:val="en-US"/>
        </w:rPr>
      </w:pPr>
      <w:r w:rsidRPr="008E237C">
        <w:rPr>
          <w:color w:val="auto"/>
          <w:szCs w:val="22"/>
          <w:lang w:val="en-US"/>
        </w:rPr>
        <w:t>Once completed, the Harbor Bridge</w:t>
      </w:r>
      <w:r w:rsidR="00755B0B">
        <w:rPr>
          <w:color w:val="auto"/>
          <w:szCs w:val="22"/>
          <w:lang w:val="en-US"/>
        </w:rPr>
        <w:t>,</w:t>
      </w:r>
      <w:r w:rsidRPr="008E237C">
        <w:rPr>
          <w:color w:val="auto"/>
          <w:szCs w:val="22"/>
          <w:lang w:val="en-US"/>
        </w:rPr>
        <w:t xml:space="preserve"> including connecting roadways</w:t>
      </w:r>
      <w:r w:rsidR="00755B0B">
        <w:rPr>
          <w:color w:val="auto"/>
          <w:szCs w:val="22"/>
          <w:lang w:val="en-US"/>
        </w:rPr>
        <w:t>,</w:t>
      </w:r>
      <w:r w:rsidRPr="008E237C">
        <w:rPr>
          <w:color w:val="auto"/>
          <w:szCs w:val="22"/>
          <w:lang w:val="en-US"/>
        </w:rPr>
        <w:t xml:space="preserve"> will be 10.36 km long, making it the longest cable-stayed bridge in the USA and the third longest bridge of its kind in the world. It has a whopping span of 506 </w:t>
      </w:r>
      <w:proofErr w:type="spellStart"/>
      <w:r w:rsidRPr="008E237C">
        <w:rPr>
          <w:color w:val="auto"/>
          <w:szCs w:val="22"/>
          <w:lang w:val="en-US"/>
        </w:rPr>
        <w:t>metres</w:t>
      </w:r>
      <w:proofErr w:type="spellEnd"/>
      <w:r w:rsidRPr="008E237C">
        <w:rPr>
          <w:color w:val="auto"/>
          <w:szCs w:val="22"/>
          <w:lang w:val="en-US"/>
        </w:rPr>
        <w:t xml:space="preserve">, i.e. the length of about five and a half football fields. </w:t>
      </w:r>
      <w:proofErr w:type="spellStart"/>
      <w:r w:rsidRPr="008E237C">
        <w:rPr>
          <w:color w:val="auto"/>
          <w:szCs w:val="22"/>
          <w:lang w:val="en-US"/>
        </w:rPr>
        <w:t>Doka</w:t>
      </w:r>
      <w:proofErr w:type="spellEnd"/>
      <w:r w:rsidRPr="008E237C">
        <w:rPr>
          <w:color w:val="auto"/>
          <w:szCs w:val="22"/>
          <w:lang w:val="en-US"/>
        </w:rPr>
        <w:t xml:space="preserve"> </w:t>
      </w:r>
      <w:proofErr w:type="gramStart"/>
      <w:r w:rsidRPr="008E237C">
        <w:rPr>
          <w:color w:val="auto"/>
          <w:szCs w:val="22"/>
          <w:lang w:val="en-US"/>
        </w:rPr>
        <w:t>was chosen</w:t>
      </w:r>
      <w:proofErr w:type="gramEnd"/>
      <w:r w:rsidRPr="008E237C">
        <w:rPr>
          <w:color w:val="auto"/>
          <w:szCs w:val="22"/>
          <w:lang w:val="en-US"/>
        </w:rPr>
        <w:t xml:space="preserve"> for the formwork engineering due to its delivery reliability and coordinated</w:t>
      </w:r>
      <w:r w:rsidR="00755B0B">
        <w:rPr>
          <w:color w:val="auto"/>
          <w:szCs w:val="22"/>
          <w:lang w:val="en-US"/>
        </w:rPr>
        <w:t>,</w:t>
      </w:r>
      <w:r w:rsidRPr="008E237C">
        <w:rPr>
          <w:color w:val="auto"/>
          <w:szCs w:val="22"/>
          <w:lang w:val="en-US"/>
        </w:rPr>
        <w:t xml:space="preserve"> integrated solution covering all phases of the infrastructure project.</w:t>
      </w:r>
    </w:p>
    <w:p w14:paraId="75D132CA" w14:textId="49DF6856" w:rsidR="001B5C8D" w:rsidRPr="008E237C" w:rsidRDefault="001B5C8D" w:rsidP="001B5C8D">
      <w:pPr>
        <w:spacing w:line="264" w:lineRule="auto"/>
        <w:rPr>
          <w:rFonts w:cs="Arial"/>
          <w:color w:val="auto"/>
          <w:szCs w:val="22"/>
          <w:lang w:val="en-US" w:eastAsia="de-DE"/>
        </w:rPr>
      </w:pPr>
    </w:p>
    <w:p w14:paraId="3A98D0A1" w14:textId="1388828A" w:rsidR="00244673" w:rsidRPr="00244673" w:rsidRDefault="00244673" w:rsidP="00244673">
      <w:pPr>
        <w:spacing w:line="264" w:lineRule="auto"/>
        <w:rPr>
          <w:rFonts w:cs="Arial"/>
          <w:b/>
          <w:color w:val="auto"/>
          <w:szCs w:val="22"/>
          <w:lang w:val="en-US"/>
        </w:rPr>
      </w:pPr>
      <w:r w:rsidRPr="00244673">
        <w:rPr>
          <w:b/>
          <w:color w:val="auto"/>
          <w:szCs w:val="22"/>
          <w:lang w:val="en-US"/>
        </w:rPr>
        <w:t>Over 100 piers of various types</w:t>
      </w:r>
    </w:p>
    <w:p w14:paraId="464CF631" w14:textId="564EA61C" w:rsidR="00244673" w:rsidRPr="00244673" w:rsidRDefault="00244673" w:rsidP="00244673">
      <w:pPr>
        <w:spacing w:line="264" w:lineRule="auto"/>
        <w:rPr>
          <w:rFonts w:cs="Arial"/>
          <w:color w:val="auto"/>
          <w:szCs w:val="22"/>
          <w:lang w:val="en-US"/>
        </w:rPr>
      </w:pPr>
      <w:r w:rsidRPr="00244673">
        <w:rPr>
          <w:color w:val="auto"/>
          <w:szCs w:val="22"/>
          <w:lang w:val="en-US"/>
        </w:rPr>
        <w:t xml:space="preserve">The scope of </w:t>
      </w:r>
      <w:proofErr w:type="spellStart"/>
      <w:r w:rsidRPr="00244673">
        <w:rPr>
          <w:color w:val="auto"/>
          <w:szCs w:val="22"/>
          <w:lang w:val="en-US"/>
        </w:rPr>
        <w:t>Doka’s</w:t>
      </w:r>
      <w:proofErr w:type="spellEnd"/>
      <w:r w:rsidRPr="00244673">
        <w:rPr>
          <w:color w:val="auto"/>
          <w:szCs w:val="22"/>
          <w:lang w:val="en-US"/>
        </w:rPr>
        <w:t xml:space="preserve"> part of the project includes </w:t>
      </w:r>
      <w:proofErr w:type="gramStart"/>
      <w:r w:rsidRPr="00244673">
        <w:rPr>
          <w:color w:val="auto"/>
          <w:szCs w:val="22"/>
          <w:lang w:val="en-US"/>
        </w:rPr>
        <w:t>two</w:t>
      </w:r>
      <w:proofErr w:type="gramEnd"/>
      <w:r w:rsidRPr="00244673">
        <w:rPr>
          <w:color w:val="auto"/>
          <w:szCs w:val="22"/>
          <w:lang w:val="en-US"/>
        </w:rPr>
        <w:t xml:space="preserve"> pylons and over 100 piers (with foundations) for the approach roads to the main span. The piers have overall heights of up to 45 m and approximately 4.50 </w:t>
      </w:r>
      <w:proofErr w:type="spellStart"/>
      <w:r w:rsidRPr="00244673">
        <w:rPr>
          <w:color w:val="auto"/>
          <w:szCs w:val="22"/>
          <w:lang w:val="en-US"/>
        </w:rPr>
        <w:t>metres</w:t>
      </w:r>
      <w:proofErr w:type="spellEnd"/>
      <w:r w:rsidRPr="00244673">
        <w:rPr>
          <w:color w:val="auto"/>
          <w:szCs w:val="22"/>
          <w:lang w:val="en-US"/>
        </w:rPr>
        <w:t xml:space="preserve"> pouring height. There are five different types of piers, varying in their external appearance and their execution – solid or hollow cross-sections.</w:t>
      </w:r>
    </w:p>
    <w:p w14:paraId="3F3DF0D5" w14:textId="02C5548E" w:rsidR="00244673" w:rsidRDefault="00244673" w:rsidP="001B5C8D">
      <w:pPr>
        <w:spacing w:line="264" w:lineRule="auto"/>
        <w:rPr>
          <w:rFonts w:cs="Arial"/>
          <w:color w:val="auto"/>
          <w:szCs w:val="22"/>
          <w:lang w:val="en-US" w:eastAsia="de-DE"/>
        </w:rPr>
      </w:pPr>
    </w:p>
    <w:p w14:paraId="152C13B6" w14:textId="77777777" w:rsidR="00244673" w:rsidRPr="007A1AAD" w:rsidRDefault="00244673" w:rsidP="00244673">
      <w:pPr>
        <w:spacing w:line="264" w:lineRule="auto"/>
        <w:rPr>
          <w:rFonts w:cs="Arial"/>
          <w:i/>
          <w:color w:val="auto"/>
          <w:szCs w:val="22"/>
          <w:lang w:val="en-US" w:eastAsia="de-DE"/>
        </w:rPr>
      </w:pPr>
      <w:r w:rsidRPr="00244673">
        <w:rPr>
          <w:color w:val="auto"/>
          <w:szCs w:val="22"/>
          <w:lang w:val="en-US"/>
        </w:rPr>
        <w:t xml:space="preserve">In order to be able to operate the formwork efficiently, the </w:t>
      </w:r>
      <w:proofErr w:type="spellStart"/>
      <w:r w:rsidRPr="00244673">
        <w:rPr>
          <w:color w:val="auto"/>
          <w:szCs w:val="22"/>
          <w:lang w:val="en-US"/>
        </w:rPr>
        <w:t>Doka</w:t>
      </w:r>
      <w:proofErr w:type="spellEnd"/>
      <w:r w:rsidRPr="00244673">
        <w:rPr>
          <w:color w:val="auto"/>
          <w:szCs w:val="22"/>
          <w:lang w:val="en-US"/>
        </w:rPr>
        <w:t xml:space="preserve"> engineers designed a </w:t>
      </w:r>
      <w:proofErr w:type="spellStart"/>
      <w:r w:rsidRPr="00244673">
        <w:rPr>
          <w:color w:val="auto"/>
          <w:szCs w:val="22"/>
          <w:lang w:val="en-US"/>
        </w:rPr>
        <w:t>customised</w:t>
      </w:r>
      <w:proofErr w:type="spellEnd"/>
      <w:r w:rsidRPr="00244673">
        <w:rPr>
          <w:color w:val="auto"/>
          <w:szCs w:val="22"/>
          <w:lang w:val="en-US"/>
        </w:rPr>
        <w:t xml:space="preserve"> steel formwork for each one of the piers. The elements were combined on the outside using the Xclimb 60 automatic climbing formwork and on the inside with the </w:t>
      </w:r>
      <w:proofErr w:type="spellStart"/>
      <w:r w:rsidRPr="00244673">
        <w:rPr>
          <w:color w:val="auto"/>
          <w:szCs w:val="22"/>
          <w:lang w:val="en-US"/>
        </w:rPr>
        <w:t>Doka</w:t>
      </w:r>
      <w:proofErr w:type="spellEnd"/>
      <w:r w:rsidRPr="00244673">
        <w:rPr>
          <w:color w:val="auto"/>
          <w:szCs w:val="22"/>
          <w:lang w:val="en-US"/>
        </w:rPr>
        <w:t xml:space="preserve"> shaft platform. The formwork and platforms </w:t>
      </w:r>
      <w:proofErr w:type="gramStart"/>
      <w:r w:rsidRPr="00244673">
        <w:rPr>
          <w:color w:val="auto"/>
          <w:szCs w:val="22"/>
          <w:lang w:val="en-US"/>
        </w:rPr>
        <w:t>were moved</w:t>
      </w:r>
      <w:proofErr w:type="gramEnd"/>
      <w:r w:rsidRPr="00244673">
        <w:rPr>
          <w:color w:val="auto"/>
          <w:szCs w:val="22"/>
          <w:lang w:val="en-US"/>
        </w:rPr>
        <w:t xml:space="preserve"> as a single unit using the crane.</w:t>
      </w:r>
    </w:p>
    <w:p w14:paraId="56FCE59D" w14:textId="77777777" w:rsidR="00244673" w:rsidRPr="007A1AAD" w:rsidRDefault="00244673" w:rsidP="00244673">
      <w:pPr>
        <w:spacing w:line="264" w:lineRule="auto"/>
        <w:rPr>
          <w:rFonts w:cs="Arial"/>
          <w:color w:val="auto"/>
          <w:szCs w:val="22"/>
          <w:lang w:val="en-US" w:eastAsia="de-DE"/>
        </w:rPr>
      </w:pPr>
    </w:p>
    <w:p w14:paraId="3F01903A" w14:textId="77777777" w:rsidR="00244673" w:rsidRPr="00244673" w:rsidRDefault="00244673" w:rsidP="00244673">
      <w:pPr>
        <w:spacing w:line="264" w:lineRule="auto"/>
        <w:rPr>
          <w:rFonts w:cs="Arial"/>
          <w:color w:val="auto"/>
          <w:szCs w:val="22"/>
          <w:lang w:val="en-US"/>
        </w:rPr>
      </w:pPr>
      <w:r w:rsidRPr="00244673">
        <w:rPr>
          <w:color w:val="auto"/>
          <w:szCs w:val="22"/>
          <w:lang w:val="en-US"/>
        </w:rPr>
        <w:t xml:space="preserve">At the top of each pier is a wide V-shaped pier cap; these were created using the Top 50 large-area formwork, with large profiled timber formwork boxes. The vertical loads were safely dissipated into the concreted section below over a solid steel </w:t>
      </w:r>
      <w:proofErr w:type="gramStart"/>
      <w:r w:rsidRPr="00244673">
        <w:rPr>
          <w:color w:val="auto"/>
          <w:szCs w:val="22"/>
          <w:lang w:val="en-US"/>
        </w:rPr>
        <w:t>girder working</w:t>
      </w:r>
      <w:proofErr w:type="gramEnd"/>
      <w:r w:rsidRPr="00244673">
        <w:rPr>
          <w:color w:val="auto"/>
          <w:szCs w:val="22"/>
          <w:lang w:val="en-US"/>
        </w:rPr>
        <w:t xml:space="preserve"> platform via brackets. The design included a function to lower the platform so that the formwork </w:t>
      </w:r>
      <w:proofErr w:type="gramStart"/>
      <w:r w:rsidRPr="00244673">
        <w:rPr>
          <w:color w:val="auto"/>
          <w:szCs w:val="22"/>
          <w:lang w:val="en-US"/>
        </w:rPr>
        <w:t>could subsequently be removed</w:t>
      </w:r>
      <w:proofErr w:type="gramEnd"/>
      <w:r w:rsidRPr="00244673">
        <w:rPr>
          <w:color w:val="auto"/>
          <w:szCs w:val="22"/>
          <w:lang w:val="en-US"/>
        </w:rPr>
        <w:t xml:space="preserve"> from the concrete.</w:t>
      </w:r>
    </w:p>
    <w:p w14:paraId="67498C8C" w14:textId="0BA1C336" w:rsidR="00244673" w:rsidRDefault="00244673" w:rsidP="001B5C8D">
      <w:pPr>
        <w:spacing w:line="264" w:lineRule="auto"/>
        <w:rPr>
          <w:rFonts w:cs="Arial"/>
          <w:color w:val="auto"/>
          <w:szCs w:val="22"/>
          <w:lang w:val="en-US" w:eastAsia="de-DE"/>
        </w:rPr>
      </w:pPr>
    </w:p>
    <w:p w14:paraId="57CAABC2" w14:textId="77777777" w:rsidR="00244673" w:rsidRPr="00244673" w:rsidRDefault="00244673" w:rsidP="001B5C8D">
      <w:pPr>
        <w:spacing w:line="264" w:lineRule="auto"/>
        <w:rPr>
          <w:rFonts w:cs="Arial"/>
          <w:color w:val="auto"/>
          <w:szCs w:val="22"/>
          <w:lang w:val="en-US" w:eastAsia="de-DE"/>
        </w:rPr>
      </w:pPr>
    </w:p>
    <w:p w14:paraId="5F8D4DF4" w14:textId="2D6550BD" w:rsidR="009E3328" w:rsidRPr="00364B21" w:rsidRDefault="009E3328" w:rsidP="001B5C8D">
      <w:pPr>
        <w:spacing w:line="264" w:lineRule="auto"/>
        <w:rPr>
          <w:rFonts w:cs="Arial"/>
          <w:color w:val="auto"/>
          <w:szCs w:val="22"/>
          <w:lang w:val="en-US" w:eastAsia="de-DE"/>
        </w:rPr>
      </w:pPr>
    </w:p>
    <w:p w14:paraId="2000C2C0" w14:textId="583BFC97" w:rsidR="00244673" w:rsidRPr="00244673" w:rsidRDefault="00244673" w:rsidP="00244673">
      <w:pPr>
        <w:spacing w:line="264" w:lineRule="auto"/>
        <w:rPr>
          <w:rFonts w:cs="Arial"/>
          <w:b/>
          <w:color w:val="auto"/>
          <w:szCs w:val="22"/>
          <w:lang w:val="en-US"/>
        </w:rPr>
      </w:pPr>
      <w:r w:rsidRPr="00244673">
        <w:rPr>
          <w:b/>
          <w:color w:val="auto"/>
          <w:szCs w:val="22"/>
          <w:lang w:val="en-US"/>
        </w:rPr>
        <w:t xml:space="preserve">Pylons 164 </w:t>
      </w:r>
      <w:proofErr w:type="spellStart"/>
      <w:r w:rsidRPr="00244673">
        <w:rPr>
          <w:b/>
          <w:color w:val="auto"/>
          <w:szCs w:val="22"/>
          <w:lang w:val="en-US"/>
        </w:rPr>
        <w:t>metres</w:t>
      </w:r>
      <w:proofErr w:type="spellEnd"/>
      <w:r w:rsidRPr="00244673">
        <w:rPr>
          <w:b/>
          <w:color w:val="auto"/>
          <w:szCs w:val="22"/>
          <w:lang w:val="en-US"/>
        </w:rPr>
        <w:t xml:space="preserve"> high need a formwork system capable of adapting to different geometries</w:t>
      </w:r>
    </w:p>
    <w:p w14:paraId="2C41741F" w14:textId="77777777" w:rsidR="00244673" w:rsidRPr="00244673" w:rsidRDefault="00244673" w:rsidP="00244673">
      <w:pPr>
        <w:spacing w:line="264" w:lineRule="auto"/>
        <w:rPr>
          <w:rFonts w:cs="Arial"/>
          <w:color w:val="auto"/>
          <w:szCs w:val="22"/>
          <w:lang w:val="en-US"/>
        </w:rPr>
      </w:pPr>
      <w:r w:rsidRPr="00244673">
        <w:rPr>
          <w:color w:val="auto"/>
          <w:szCs w:val="22"/>
          <w:lang w:val="en-US"/>
        </w:rPr>
        <w:t xml:space="preserve">The two pylons are 164 </w:t>
      </w:r>
      <w:proofErr w:type="spellStart"/>
      <w:r w:rsidRPr="00244673">
        <w:rPr>
          <w:color w:val="auto"/>
          <w:szCs w:val="22"/>
          <w:lang w:val="en-US"/>
        </w:rPr>
        <w:t>metres</w:t>
      </w:r>
      <w:proofErr w:type="spellEnd"/>
      <w:r w:rsidRPr="00244673">
        <w:rPr>
          <w:color w:val="auto"/>
          <w:szCs w:val="22"/>
          <w:lang w:val="en-US"/>
        </w:rPr>
        <w:t xml:space="preserve"> tall and </w:t>
      </w:r>
      <w:proofErr w:type="gramStart"/>
      <w:r w:rsidRPr="00244673">
        <w:rPr>
          <w:color w:val="auto"/>
          <w:szCs w:val="22"/>
          <w:lang w:val="en-US"/>
        </w:rPr>
        <w:t>are structured</w:t>
      </w:r>
      <w:proofErr w:type="gramEnd"/>
      <w:r w:rsidRPr="00244673">
        <w:rPr>
          <w:color w:val="auto"/>
          <w:szCs w:val="22"/>
          <w:lang w:val="en-US"/>
        </w:rPr>
        <w:t xml:space="preserve"> in three sections: the lower section consisting of two A-shaped pylon legs; the transition area where the legs meet; and the pylon tower, with its challenging geometry.</w:t>
      </w:r>
    </w:p>
    <w:p w14:paraId="661097C9" w14:textId="77777777" w:rsidR="00244673" w:rsidRPr="00244673" w:rsidRDefault="00244673" w:rsidP="00244673">
      <w:pPr>
        <w:spacing w:line="264" w:lineRule="auto"/>
        <w:rPr>
          <w:rFonts w:cs="Arial"/>
          <w:color w:val="auto"/>
          <w:szCs w:val="22"/>
          <w:lang w:val="en-US" w:eastAsia="de-DE"/>
        </w:rPr>
      </w:pPr>
    </w:p>
    <w:p w14:paraId="259BE1A6" w14:textId="39CA731D" w:rsidR="00244673" w:rsidRDefault="00244673" w:rsidP="00244673">
      <w:pPr>
        <w:spacing w:line="264" w:lineRule="auto"/>
        <w:rPr>
          <w:color w:val="auto"/>
          <w:szCs w:val="22"/>
        </w:rPr>
      </w:pPr>
      <w:r w:rsidRPr="00244673">
        <w:rPr>
          <w:color w:val="auto"/>
          <w:szCs w:val="22"/>
          <w:lang w:val="en-US"/>
        </w:rPr>
        <w:t xml:space="preserve">The pylon legs are approximately 50 </w:t>
      </w:r>
      <w:proofErr w:type="spellStart"/>
      <w:r w:rsidRPr="00244673">
        <w:rPr>
          <w:color w:val="auto"/>
          <w:szCs w:val="22"/>
          <w:lang w:val="en-US"/>
        </w:rPr>
        <w:t>metres</w:t>
      </w:r>
      <w:proofErr w:type="spellEnd"/>
      <w:r w:rsidRPr="00244673">
        <w:rPr>
          <w:color w:val="auto"/>
          <w:szCs w:val="22"/>
          <w:lang w:val="en-US"/>
        </w:rPr>
        <w:t xml:space="preserve"> high and comprise nine pouring steps, each 5.5 </w:t>
      </w:r>
      <w:proofErr w:type="spellStart"/>
      <w:r w:rsidRPr="00244673">
        <w:rPr>
          <w:color w:val="auto"/>
          <w:szCs w:val="22"/>
          <w:lang w:val="en-US"/>
        </w:rPr>
        <w:t>metres</w:t>
      </w:r>
      <w:proofErr w:type="spellEnd"/>
      <w:r w:rsidRPr="00244673">
        <w:rPr>
          <w:color w:val="auto"/>
          <w:szCs w:val="22"/>
          <w:lang w:val="en-US"/>
        </w:rPr>
        <w:t xml:space="preserve"> high. Twelve SKE100 plus automatic climbing brackets </w:t>
      </w:r>
      <w:proofErr w:type="gramStart"/>
      <w:r w:rsidRPr="00244673">
        <w:rPr>
          <w:color w:val="auto"/>
          <w:szCs w:val="22"/>
          <w:lang w:val="en-US"/>
        </w:rPr>
        <w:t>were</w:t>
      </w:r>
      <w:proofErr w:type="gramEnd"/>
      <w:r w:rsidRPr="00244673">
        <w:rPr>
          <w:color w:val="auto"/>
          <w:szCs w:val="22"/>
          <w:lang w:val="en-US"/>
        </w:rPr>
        <w:t xml:space="preserve"> used on the outside of each pylon leg to lift the entire external formwork to the next concrete section; this meant that no cranes were needed</w:t>
      </w:r>
      <w:r w:rsidR="00494C1E">
        <w:rPr>
          <w:color w:val="auto"/>
          <w:szCs w:val="22"/>
          <w:lang w:val="en-US"/>
        </w:rPr>
        <w:t xml:space="preserve"> for lifting</w:t>
      </w:r>
      <w:r w:rsidRPr="00244673">
        <w:rPr>
          <w:color w:val="auto"/>
          <w:szCs w:val="22"/>
          <w:lang w:val="en-US"/>
        </w:rPr>
        <w:t xml:space="preserve"> and thus saved valuable crane capacity. All the working platforms climbed simultaneously, ensuring no edges </w:t>
      </w:r>
      <w:proofErr w:type="gramStart"/>
      <w:r w:rsidRPr="00244673">
        <w:rPr>
          <w:color w:val="auto"/>
          <w:szCs w:val="22"/>
          <w:lang w:val="en-US"/>
        </w:rPr>
        <w:t>were left</w:t>
      </w:r>
      <w:proofErr w:type="gramEnd"/>
      <w:r w:rsidRPr="00244673">
        <w:rPr>
          <w:color w:val="auto"/>
          <w:szCs w:val="22"/>
          <w:lang w:val="en-US"/>
        </w:rPr>
        <w:t xml:space="preserve"> open where there might have been a risk of falling – this guaranteed maximum safety on site. </w:t>
      </w:r>
      <w:proofErr w:type="spellStart"/>
      <w:r>
        <w:rPr>
          <w:color w:val="auto"/>
          <w:szCs w:val="22"/>
        </w:rPr>
        <w:t>Doka</w:t>
      </w:r>
      <w:proofErr w:type="spellEnd"/>
      <w:r>
        <w:rPr>
          <w:color w:val="auto"/>
          <w:szCs w:val="22"/>
        </w:rPr>
        <w:t xml:space="preserve"> </w:t>
      </w:r>
      <w:proofErr w:type="spellStart"/>
      <w:r>
        <w:rPr>
          <w:color w:val="auto"/>
          <w:szCs w:val="22"/>
        </w:rPr>
        <w:t>shaft</w:t>
      </w:r>
      <w:proofErr w:type="spellEnd"/>
      <w:r>
        <w:rPr>
          <w:color w:val="auto"/>
          <w:szCs w:val="22"/>
        </w:rPr>
        <w:t xml:space="preserve"> </w:t>
      </w:r>
      <w:proofErr w:type="spellStart"/>
      <w:r>
        <w:rPr>
          <w:color w:val="auto"/>
          <w:szCs w:val="22"/>
        </w:rPr>
        <w:t>platforms</w:t>
      </w:r>
      <w:proofErr w:type="spellEnd"/>
      <w:r>
        <w:rPr>
          <w:color w:val="auto"/>
          <w:szCs w:val="22"/>
        </w:rPr>
        <w:t xml:space="preserve"> </w:t>
      </w:r>
      <w:proofErr w:type="spellStart"/>
      <w:r>
        <w:rPr>
          <w:color w:val="auto"/>
          <w:szCs w:val="22"/>
        </w:rPr>
        <w:t>were</w:t>
      </w:r>
      <w:proofErr w:type="spellEnd"/>
      <w:r>
        <w:rPr>
          <w:color w:val="auto"/>
          <w:szCs w:val="22"/>
        </w:rPr>
        <w:t xml:space="preserve"> </w:t>
      </w:r>
      <w:proofErr w:type="spellStart"/>
      <w:r>
        <w:rPr>
          <w:color w:val="auto"/>
          <w:szCs w:val="22"/>
        </w:rPr>
        <w:t>used</w:t>
      </w:r>
      <w:proofErr w:type="spellEnd"/>
      <w:r>
        <w:rPr>
          <w:color w:val="auto"/>
          <w:szCs w:val="22"/>
        </w:rPr>
        <w:t xml:space="preserve"> </w:t>
      </w:r>
      <w:proofErr w:type="spellStart"/>
      <w:r>
        <w:rPr>
          <w:color w:val="auto"/>
          <w:szCs w:val="22"/>
        </w:rPr>
        <w:t>inside</w:t>
      </w:r>
      <w:proofErr w:type="spellEnd"/>
      <w:r>
        <w:rPr>
          <w:color w:val="auto"/>
          <w:szCs w:val="22"/>
        </w:rPr>
        <w:t xml:space="preserve"> </w:t>
      </w:r>
      <w:proofErr w:type="spellStart"/>
      <w:r>
        <w:rPr>
          <w:color w:val="auto"/>
          <w:szCs w:val="22"/>
        </w:rPr>
        <w:t>the</w:t>
      </w:r>
      <w:proofErr w:type="spellEnd"/>
      <w:r>
        <w:rPr>
          <w:color w:val="auto"/>
          <w:szCs w:val="22"/>
        </w:rPr>
        <w:t xml:space="preserve"> </w:t>
      </w:r>
      <w:proofErr w:type="spellStart"/>
      <w:r>
        <w:rPr>
          <w:color w:val="auto"/>
          <w:szCs w:val="22"/>
        </w:rPr>
        <w:t>hollow</w:t>
      </w:r>
      <w:proofErr w:type="spellEnd"/>
      <w:r>
        <w:rPr>
          <w:color w:val="auto"/>
          <w:szCs w:val="22"/>
        </w:rPr>
        <w:t xml:space="preserve"> </w:t>
      </w:r>
      <w:proofErr w:type="spellStart"/>
      <w:r>
        <w:rPr>
          <w:color w:val="auto"/>
          <w:szCs w:val="22"/>
        </w:rPr>
        <w:t>construction</w:t>
      </w:r>
      <w:proofErr w:type="spellEnd"/>
      <w:r>
        <w:rPr>
          <w:color w:val="auto"/>
          <w:szCs w:val="22"/>
        </w:rPr>
        <w:t>.</w:t>
      </w:r>
    </w:p>
    <w:p w14:paraId="72CE4BFE" w14:textId="6F4633D3" w:rsidR="0062235D" w:rsidRDefault="0062235D" w:rsidP="00244673">
      <w:pPr>
        <w:spacing w:line="264" w:lineRule="auto"/>
        <w:rPr>
          <w:color w:val="auto"/>
          <w:szCs w:val="22"/>
        </w:rPr>
      </w:pPr>
    </w:p>
    <w:p w14:paraId="574323D3" w14:textId="3877C3C3" w:rsidR="0062235D" w:rsidRDefault="0062235D" w:rsidP="0062235D">
      <w:pPr>
        <w:spacing w:line="264" w:lineRule="auto"/>
        <w:rPr>
          <w:color w:val="auto"/>
          <w:szCs w:val="22"/>
          <w:lang w:val="en-US"/>
        </w:rPr>
      </w:pPr>
      <w:r w:rsidRPr="0062235D">
        <w:rPr>
          <w:color w:val="auto"/>
          <w:szCs w:val="22"/>
          <w:lang w:val="en-US"/>
        </w:rPr>
        <w:t xml:space="preserve">The transition area, where the pylon legs join, was a particular challenge, as there was not enough room for a standard self-climbing solution. Instead, </w:t>
      </w:r>
      <w:proofErr w:type="spellStart"/>
      <w:r w:rsidRPr="0062235D">
        <w:rPr>
          <w:color w:val="auto"/>
          <w:szCs w:val="22"/>
          <w:lang w:val="en-US"/>
        </w:rPr>
        <w:t>Doka</w:t>
      </w:r>
      <w:proofErr w:type="spellEnd"/>
      <w:r w:rsidRPr="0062235D">
        <w:rPr>
          <w:color w:val="auto"/>
          <w:szCs w:val="22"/>
          <w:lang w:val="en-US"/>
        </w:rPr>
        <w:t xml:space="preserve"> developed a custom working </w:t>
      </w:r>
      <w:proofErr w:type="gramStart"/>
      <w:r w:rsidRPr="0062235D">
        <w:rPr>
          <w:color w:val="auto"/>
          <w:szCs w:val="22"/>
          <w:lang w:val="en-US"/>
        </w:rPr>
        <w:t>platform which</w:t>
      </w:r>
      <w:proofErr w:type="gramEnd"/>
      <w:r w:rsidRPr="0062235D">
        <w:rPr>
          <w:color w:val="auto"/>
          <w:szCs w:val="22"/>
          <w:lang w:val="en-US"/>
        </w:rPr>
        <w:t xml:space="preserve"> was based for the 13m high transition area. The platform consist</w:t>
      </w:r>
      <w:r w:rsidR="006D644B">
        <w:rPr>
          <w:color w:val="auto"/>
          <w:szCs w:val="22"/>
          <w:lang w:val="en-US"/>
        </w:rPr>
        <w:t>s</w:t>
      </w:r>
      <w:r w:rsidRPr="0062235D">
        <w:rPr>
          <w:color w:val="auto"/>
          <w:szCs w:val="22"/>
          <w:lang w:val="en-US"/>
        </w:rPr>
        <w:t xml:space="preserve"> of horizontal supporting cons</w:t>
      </w:r>
      <w:r w:rsidR="0091550F">
        <w:rPr>
          <w:color w:val="auto"/>
          <w:szCs w:val="22"/>
          <w:lang w:val="en-US"/>
        </w:rPr>
        <w:t xml:space="preserve">truction </w:t>
      </w:r>
      <w:proofErr w:type="gramStart"/>
      <w:r w:rsidR="0091550F">
        <w:rPr>
          <w:color w:val="auto"/>
          <w:szCs w:val="22"/>
          <w:lang w:val="en-US"/>
        </w:rPr>
        <w:t>frames which</w:t>
      </w:r>
      <w:proofErr w:type="gramEnd"/>
      <w:r w:rsidR="0091550F">
        <w:rPr>
          <w:color w:val="auto"/>
          <w:szCs w:val="22"/>
          <w:lang w:val="en-US"/>
        </w:rPr>
        <w:t xml:space="preserve"> transferred</w:t>
      </w:r>
      <w:r w:rsidRPr="0062235D">
        <w:rPr>
          <w:color w:val="auto"/>
          <w:szCs w:val="22"/>
          <w:lang w:val="en-US"/>
        </w:rPr>
        <w:t xml:space="preserve"> the concrete loads safely in the previous pouring section.</w:t>
      </w:r>
    </w:p>
    <w:p w14:paraId="306E1475" w14:textId="0A1397F6" w:rsidR="00A63C85" w:rsidRDefault="00A63C85" w:rsidP="0062235D">
      <w:pPr>
        <w:spacing w:line="264" w:lineRule="auto"/>
        <w:rPr>
          <w:color w:val="auto"/>
          <w:szCs w:val="22"/>
          <w:lang w:val="en-US"/>
        </w:rPr>
      </w:pPr>
    </w:p>
    <w:p w14:paraId="5FE9B4F5" w14:textId="78F1C43C" w:rsidR="00A63C85" w:rsidRPr="00A63C85" w:rsidRDefault="00A63C85" w:rsidP="00A63C85">
      <w:pPr>
        <w:spacing w:line="264" w:lineRule="auto"/>
        <w:rPr>
          <w:rFonts w:cs="Arial"/>
          <w:color w:val="auto"/>
          <w:szCs w:val="22"/>
          <w:lang w:val="en-US"/>
        </w:rPr>
      </w:pPr>
      <w:r w:rsidRPr="0023628D">
        <w:rPr>
          <w:color w:val="auto"/>
          <w:szCs w:val="22"/>
          <w:lang w:val="en-US"/>
        </w:rPr>
        <w:t xml:space="preserve">The pylon towers were built using the SKE100 </w:t>
      </w:r>
      <w:proofErr w:type="gramStart"/>
      <w:r w:rsidRPr="0023628D">
        <w:rPr>
          <w:color w:val="auto"/>
          <w:szCs w:val="22"/>
          <w:lang w:val="en-US"/>
        </w:rPr>
        <w:t>plus’s</w:t>
      </w:r>
      <w:proofErr w:type="gramEnd"/>
      <w:r w:rsidRPr="0023628D">
        <w:rPr>
          <w:color w:val="auto"/>
          <w:szCs w:val="22"/>
          <w:lang w:val="en-US"/>
        </w:rPr>
        <w:t xml:space="preserve"> little brother, the SKE50 plus automatic climbing formwork. The SKE50 plus has a lifting capacity of 5 tons per climbing unit, half the</w:t>
      </w:r>
      <w:r w:rsidRPr="00A63C85">
        <w:rPr>
          <w:color w:val="auto"/>
          <w:szCs w:val="22"/>
          <w:lang w:val="en-US"/>
        </w:rPr>
        <w:t xml:space="preserve"> capacity of the SKE100 plus. It is the standard system for numerous typical building and bridge construction applications </w:t>
      </w:r>
      <w:r w:rsidRPr="00F52963">
        <w:rPr>
          <w:color w:val="auto"/>
          <w:szCs w:val="22"/>
          <w:lang w:val="en-US"/>
        </w:rPr>
        <w:t>where high li</w:t>
      </w:r>
      <w:r w:rsidR="00203321">
        <w:rPr>
          <w:color w:val="auto"/>
          <w:szCs w:val="22"/>
          <w:lang w:val="en-US"/>
        </w:rPr>
        <w:t>ve loads in combination with large</w:t>
      </w:r>
      <w:r w:rsidRPr="00F52963">
        <w:rPr>
          <w:color w:val="auto"/>
          <w:szCs w:val="22"/>
          <w:lang w:val="en-US"/>
        </w:rPr>
        <w:t xml:space="preserve"> inf</w:t>
      </w:r>
      <w:r w:rsidR="009E3B6A">
        <w:rPr>
          <w:color w:val="auto"/>
          <w:szCs w:val="22"/>
          <w:lang w:val="en-US"/>
        </w:rPr>
        <w:t>luence widths are not as critical</w:t>
      </w:r>
      <w:r w:rsidRPr="00F52963">
        <w:rPr>
          <w:color w:val="auto"/>
          <w:szCs w:val="22"/>
          <w:lang w:val="en-US"/>
        </w:rPr>
        <w:t>.</w:t>
      </w:r>
      <w:r w:rsidRPr="00A63C85">
        <w:rPr>
          <w:color w:val="auto"/>
          <w:szCs w:val="22"/>
          <w:lang w:val="en-US"/>
        </w:rPr>
        <w:t xml:space="preserve"> </w:t>
      </w:r>
    </w:p>
    <w:p w14:paraId="23D01464" w14:textId="77777777" w:rsidR="00A63C85" w:rsidRPr="00A63C85" w:rsidRDefault="00A63C85" w:rsidP="00A63C85">
      <w:pPr>
        <w:spacing w:line="264" w:lineRule="auto"/>
        <w:rPr>
          <w:rFonts w:cs="Arial"/>
          <w:color w:val="auto"/>
          <w:szCs w:val="22"/>
          <w:lang w:val="en-US" w:eastAsia="de-DE"/>
        </w:rPr>
      </w:pPr>
    </w:p>
    <w:p w14:paraId="3868A09C" w14:textId="33A076EF" w:rsidR="00A63C85" w:rsidRDefault="00A63C85" w:rsidP="001B5C8D">
      <w:pPr>
        <w:spacing w:line="264" w:lineRule="auto"/>
        <w:rPr>
          <w:color w:val="auto"/>
          <w:szCs w:val="22"/>
          <w:lang w:val="en-US"/>
        </w:rPr>
      </w:pPr>
      <w:r w:rsidRPr="00A63C85">
        <w:rPr>
          <w:color w:val="auto"/>
          <w:szCs w:val="22"/>
          <w:lang w:val="en-US"/>
        </w:rPr>
        <w:t xml:space="preserve">Another point requiring careful attention in the formwork design was the shape of the pylon tower, which tapers gradually towards the top. In order to ensure the construction site team had to modify the formwork as little as possible, </w:t>
      </w:r>
      <w:proofErr w:type="spellStart"/>
      <w:r w:rsidRPr="00A63C85">
        <w:rPr>
          <w:color w:val="auto"/>
          <w:szCs w:val="22"/>
          <w:lang w:val="en-US"/>
        </w:rPr>
        <w:t>Doka’s</w:t>
      </w:r>
      <w:proofErr w:type="spellEnd"/>
      <w:r w:rsidRPr="00A63C85">
        <w:rPr>
          <w:color w:val="auto"/>
          <w:szCs w:val="22"/>
          <w:lang w:val="en-US"/>
        </w:rPr>
        <w:t xml:space="preserve"> formwork engineers designed a custom Top 50 large-area formwork. </w:t>
      </w:r>
      <w:r w:rsidRPr="00EB04B0">
        <w:rPr>
          <w:color w:val="auto"/>
          <w:szCs w:val="22"/>
          <w:lang w:val="en-US"/>
        </w:rPr>
        <w:t xml:space="preserve">The groups of holes in the anchor waling </w:t>
      </w:r>
      <w:proofErr w:type="gramStart"/>
      <w:r w:rsidRPr="00EB04B0">
        <w:rPr>
          <w:color w:val="auto"/>
          <w:szCs w:val="22"/>
          <w:lang w:val="en-US"/>
        </w:rPr>
        <w:t>were designed</w:t>
      </w:r>
      <w:proofErr w:type="gramEnd"/>
      <w:r w:rsidRPr="00EB04B0">
        <w:rPr>
          <w:color w:val="auto"/>
          <w:szCs w:val="22"/>
          <w:lang w:val="en-US"/>
        </w:rPr>
        <w:t xml:space="preserve"> to achieve in closed formwork condition the corresponding pouring step geometry.</w:t>
      </w:r>
    </w:p>
    <w:p w14:paraId="416FF6A6" w14:textId="77777777" w:rsidR="00A63C85" w:rsidRDefault="00A63C85" w:rsidP="001B5C8D">
      <w:pPr>
        <w:spacing w:line="264" w:lineRule="auto"/>
        <w:rPr>
          <w:color w:val="auto"/>
          <w:szCs w:val="22"/>
          <w:lang w:val="en-US"/>
        </w:rPr>
      </w:pPr>
    </w:p>
    <w:p w14:paraId="7F56125F" w14:textId="5D3029CF" w:rsidR="00A63C85" w:rsidRPr="00A63C85" w:rsidRDefault="00A63C85" w:rsidP="00A63C85">
      <w:pPr>
        <w:spacing w:line="264" w:lineRule="auto"/>
        <w:rPr>
          <w:rFonts w:cs="Arial"/>
          <w:color w:val="auto"/>
          <w:szCs w:val="22"/>
          <w:lang w:val="en-US"/>
        </w:rPr>
      </w:pPr>
      <w:r w:rsidRPr="00A63C85">
        <w:rPr>
          <w:color w:val="auto"/>
          <w:szCs w:val="22"/>
          <w:lang w:val="en-US"/>
        </w:rPr>
        <w:t>The new bridge is being constructed using modern bridge-building technology and materials</w:t>
      </w:r>
      <w:r w:rsidR="00B77EB7">
        <w:rPr>
          <w:color w:val="auto"/>
          <w:szCs w:val="22"/>
          <w:lang w:val="en-US"/>
        </w:rPr>
        <w:t xml:space="preserve">. Once completed it </w:t>
      </w:r>
      <w:proofErr w:type="gramStart"/>
      <w:r w:rsidRPr="00A63C85">
        <w:rPr>
          <w:color w:val="auto"/>
          <w:szCs w:val="22"/>
          <w:lang w:val="en-US"/>
        </w:rPr>
        <w:t>is expected</w:t>
      </w:r>
      <w:proofErr w:type="gramEnd"/>
      <w:r w:rsidRPr="00A63C85">
        <w:rPr>
          <w:color w:val="auto"/>
          <w:szCs w:val="22"/>
          <w:lang w:val="en-US"/>
        </w:rPr>
        <w:t xml:space="preserve"> to enjoy a service life of more than 170 years.</w:t>
      </w:r>
    </w:p>
    <w:p w14:paraId="06379C78" w14:textId="20E662FB" w:rsidR="000E7E67" w:rsidRPr="00A63C85" w:rsidRDefault="00A63C85" w:rsidP="001B5C8D">
      <w:pPr>
        <w:spacing w:line="264" w:lineRule="auto"/>
        <w:rPr>
          <w:rFonts w:cs="Arial"/>
          <w:color w:val="auto"/>
          <w:szCs w:val="22"/>
          <w:lang w:val="en-US" w:eastAsia="de-DE"/>
        </w:rPr>
      </w:pPr>
      <w:r w:rsidRPr="00A63C85">
        <w:rPr>
          <w:color w:val="auto"/>
          <w:szCs w:val="22"/>
          <w:lang w:val="en-US"/>
        </w:rPr>
        <w:br/>
      </w:r>
    </w:p>
    <w:p w14:paraId="7FA9C5BE" w14:textId="2FA69D80" w:rsidR="001B5C8D" w:rsidRPr="00A63C85" w:rsidRDefault="001B5C8D" w:rsidP="001B5C8D">
      <w:pPr>
        <w:spacing w:line="264" w:lineRule="auto"/>
        <w:rPr>
          <w:rFonts w:cs="Arial"/>
          <w:color w:val="auto"/>
          <w:szCs w:val="22"/>
          <w:lang w:val="en-US" w:eastAsia="de-DE"/>
        </w:rPr>
      </w:pPr>
    </w:p>
    <w:p w14:paraId="4B8A3DAD" w14:textId="390E2150" w:rsidR="001B5C8D" w:rsidRPr="006D644B" w:rsidRDefault="001B5C8D" w:rsidP="001B5C8D">
      <w:pPr>
        <w:rPr>
          <w:rFonts w:cs="Arial"/>
          <w:color w:val="auto"/>
          <w:szCs w:val="22"/>
          <w:lang w:val="en-US" w:eastAsia="de-DE"/>
        </w:rPr>
      </w:pPr>
    </w:p>
    <w:p w14:paraId="6E20DB2B" w14:textId="510B1A54" w:rsidR="006D2A05" w:rsidRPr="006D644B" w:rsidRDefault="006D2A05" w:rsidP="001B5C8D">
      <w:pPr>
        <w:rPr>
          <w:rFonts w:cs="Arial"/>
          <w:color w:val="auto"/>
          <w:szCs w:val="22"/>
          <w:lang w:val="en-US" w:eastAsia="de-DE"/>
        </w:rPr>
      </w:pPr>
    </w:p>
    <w:p w14:paraId="31FDEC19" w14:textId="75573DEA" w:rsidR="002F2EF8" w:rsidRPr="006D644B" w:rsidRDefault="002F2EF8" w:rsidP="001B5C8D">
      <w:pPr>
        <w:rPr>
          <w:rFonts w:cs="Arial"/>
          <w:color w:val="auto"/>
          <w:szCs w:val="22"/>
          <w:lang w:val="en-US" w:eastAsia="de-DE"/>
        </w:rPr>
      </w:pPr>
    </w:p>
    <w:p w14:paraId="2EEF3B1C" w14:textId="63CA0CB0" w:rsidR="002F2EF8" w:rsidRDefault="002F2EF8" w:rsidP="001B5C8D">
      <w:pPr>
        <w:rPr>
          <w:rFonts w:cs="Arial"/>
          <w:color w:val="auto"/>
          <w:szCs w:val="22"/>
          <w:lang w:val="en-US" w:eastAsia="de-DE"/>
        </w:rPr>
      </w:pPr>
    </w:p>
    <w:p w14:paraId="59559B18" w14:textId="77777777" w:rsidR="00DF372C" w:rsidRPr="006D644B" w:rsidRDefault="00DF372C" w:rsidP="001B5C8D">
      <w:pPr>
        <w:rPr>
          <w:rFonts w:cs="Arial"/>
          <w:color w:val="auto"/>
          <w:szCs w:val="22"/>
          <w:lang w:val="en-US" w:eastAsia="de-DE"/>
        </w:rPr>
      </w:pPr>
    </w:p>
    <w:p w14:paraId="01B92B5D" w14:textId="77777777" w:rsidR="00A46933" w:rsidRDefault="00A46933" w:rsidP="00755B0B">
      <w:pPr>
        <w:spacing w:line="264" w:lineRule="auto"/>
        <w:rPr>
          <w:rFonts w:cs="Arial"/>
          <w:color w:val="auto"/>
          <w:szCs w:val="22"/>
          <w:lang w:val="en-US" w:eastAsia="de-DE"/>
        </w:rPr>
      </w:pPr>
    </w:p>
    <w:p w14:paraId="116CE054" w14:textId="37C135F9" w:rsidR="001B5C8D" w:rsidRDefault="000218E9" w:rsidP="00755B0B">
      <w:pPr>
        <w:spacing w:line="264" w:lineRule="auto"/>
        <w:rPr>
          <w:b/>
          <w:sz w:val="20"/>
          <w:szCs w:val="22"/>
          <w:lang w:val="en-US"/>
        </w:rPr>
      </w:pPr>
      <w:r w:rsidRPr="000218E9">
        <w:rPr>
          <w:b/>
          <w:sz w:val="20"/>
          <w:szCs w:val="22"/>
          <w:lang w:val="en-US"/>
        </w:rPr>
        <w:lastRenderedPageBreak/>
        <w:t>In short:</w:t>
      </w:r>
    </w:p>
    <w:p w14:paraId="0A406B3A" w14:textId="77777777" w:rsidR="00A46933" w:rsidRPr="00755B0B" w:rsidRDefault="00A46933" w:rsidP="00755B0B">
      <w:pPr>
        <w:spacing w:line="264" w:lineRule="auto"/>
        <w:rPr>
          <w:b/>
          <w:sz w:val="20"/>
          <w:szCs w:val="22"/>
          <w:lang w:val="en-US"/>
        </w:rPr>
      </w:pPr>
    </w:p>
    <w:p w14:paraId="18E6BF20" w14:textId="2930116F" w:rsidR="001B5C8D" w:rsidRPr="00762FBE" w:rsidRDefault="000218E9" w:rsidP="001B5C8D">
      <w:pPr>
        <w:tabs>
          <w:tab w:val="left" w:pos="2835"/>
        </w:tabs>
        <w:spacing w:line="264" w:lineRule="auto"/>
        <w:contextualSpacing/>
        <w:rPr>
          <w:rFonts w:cs="Arial"/>
          <w:sz w:val="20"/>
          <w:szCs w:val="22"/>
          <w:lang w:val="en-US"/>
        </w:rPr>
      </w:pPr>
      <w:r>
        <w:rPr>
          <w:rFonts w:cs="Arial"/>
          <w:sz w:val="20"/>
          <w:szCs w:val="22"/>
          <w:lang w:val="en-US"/>
        </w:rPr>
        <w:t>Projec</w:t>
      </w:r>
      <w:r w:rsidR="001B5C8D" w:rsidRPr="00762FBE">
        <w:rPr>
          <w:rFonts w:cs="Arial"/>
          <w:sz w:val="20"/>
          <w:szCs w:val="22"/>
          <w:lang w:val="en-US"/>
        </w:rPr>
        <w:t>t:</w:t>
      </w:r>
      <w:r w:rsidR="001B5C8D" w:rsidRPr="00762FBE">
        <w:rPr>
          <w:rFonts w:cs="Arial"/>
          <w:sz w:val="20"/>
          <w:szCs w:val="22"/>
          <w:lang w:val="en-US"/>
        </w:rPr>
        <w:tab/>
        <w:t xml:space="preserve"> US 181 Harbor Bridge Replacement</w:t>
      </w:r>
    </w:p>
    <w:p w14:paraId="673EE279" w14:textId="00C0DD3B" w:rsidR="001B5C8D" w:rsidRPr="008A2BDD" w:rsidRDefault="000218E9" w:rsidP="001B5C8D">
      <w:pPr>
        <w:tabs>
          <w:tab w:val="left" w:pos="2835"/>
          <w:tab w:val="left" w:pos="4986"/>
        </w:tabs>
        <w:spacing w:line="264" w:lineRule="auto"/>
        <w:contextualSpacing/>
        <w:rPr>
          <w:rFonts w:cs="Arial"/>
          <w:sz w:val="20"/>
          <w:szCs w:val="22"/>
          <w:lang w:val="en-US"/>
        </w:rPr>
      </w:pPr>
      <w:r>
        <w:rPr>
          <w:rFonts w:cs="Arial"/>
          <w:sz w:val="20"/>
          <w:szCs w:val="22"/>
          <w:lang w:val="en-US"/>
        </w:rPr>
        <w:t>Location</w:t>
      </w:r>
      <w:r w:rsidR="001B5C8D" w:rsidRPr="008A2BDD">
        <w:rPr>
          <w:rFonts w:cs="Arial"/>
          <w:sz w:val="20"/>
          <w:szCs w:val="22"/>
          <w:lang w:val="en-US"/>
        </w:rPr>
        <w:t>:</w:t>
      </w:r>
      <w:r w:rsidR="001B5C8D" w:rsidRPr="008A2BDD">
        <w:rPr>
          <w:rFonts w:cs="Arial"/>
          <w:sz w:val="20"/>
          <w:szCs w:val="22"/>
          <w:lang w:val="en-US"/>
        </w:rPr>
        <w:tab/>
        <w:t xml:space="preserve"> Corpus Christi, Texas, USA</w:t>
      </w:r>
      <w:r w:rsidR="001B5C8D" w:rsidRPr="008A2BDD">
        <w:rPr>
          <w:rFonts w:cs="Arial"/>
          <w:sz w:val="20"/>
          <w:szCs w:val="22"/>
          <w:lang w:val="en-US"/>
        </w:rPr>
        <w:tab/>
      </w:r>
    </w:p>
    <w:p w14:paraId="72833078" w14:textId="766FB0BD" w:rsidR="001B5C8D" w:rsidRPr="00755B0B" w:rsidRDefault="000218E9" w:rsidP="001B5C8D">
      <w:pPr>
        <w:tabs>
          <w:tab w:val="left" w:pos="1990"/>
          <w:tab w:val="left" w:pos="2835"/>
        </w:tabs>
        <w:spacing w:line="264" w:lineRule="auto"/>
        <w:contextualSpacing/>
        <w:rPr>
          <w:rFonts w:cs="Arial"/>
          <w:sz w:val="20"/>
          <w:szCs w:val="22"/>
          <w:lang w:val="en-US"/>
        </w:rPr>
      </w:pPr>
      <w:r w:rsidRPr="000218E9">
        <w:rPr>
          <w:rFonts w:cs="Arial"/>
          <w:sz w:val="20"/>
          <w:szCs w:val="22"/>
          <w:lang w:val="en-US"/>
        </w:rPr>
        <w:t>Type of structure</w:t>
      </w:r>
      <w:r w:rsidR="00755B0B">
        <w:rPr>
          <w:rFonts w:cs="Arial"/>
          <w:sz w:val="20"/>
          <w:szCs w:val="22"/>
          <w:lang w:val="en-US"/>
        </w:rPr>
        <w:t>:</w:t>
      </w:r>
      <w:r w:rsidR="00755B0B">
        <w:rPr>
          <w:rFonts w:cs="Arial"/>
          <w:sz w:val="20"/>
          <w:szCs w:val="22"/>
          <w:lang w:val="en-US"/>
        </w:rPr>
        <w:tab/>
      </w:r>
      <w:r w:rsidR="00755B0B">
        <w:rPr>
          <w:rFonts w:cs="Arial"/>
          <w:sz w:val="20"/>
          <w:szCs w:val="22"/>
          <w:lang w:val="en-US"/>
        </w:rPr>
        <w:tab/>
        <w:t xml:space="preserve"> </w:t>
      </w:r>
      <w:r w:rsidR="00755B0B" w:rsidRPr="00755B0B">
        <w:rPr>
          <w:sz w:val="20"/>
          <w:szCs w:val="22"/>
          <w:lang w:val="en-US"/>
        </w:rPr>
        <w:t>Cable-Stayed Bridge</w:t>
      </w:r>
    </w:p>
    <w:p w14:paraId="2DE756BE" w14:textId="6CF0D18E" w:rsidR="001B5C8D" w:rsidRPr="000218E9" w:rsidRDefault="000218E9" w:rsidP="001B5C8D">
      <w:pPr>
        <w:tabs>
          <w:tab w:val="left" w:pos="1990"/>
          <w:tab w:val="left" w:pos="2835"/>
        </w:tabs>
        <w:spacing w:line="264" w:lineRule="auto"/>
        <w:contextualSpacing/>
        <w:rPr>
          <w:rFonts w:cs="Arial"/>
          <w:sz w:val="20"/>
          <w:szCs w:val="22"/>
          <w:lang w:val="en-US"/>
        </w:rPr>
      </w:pPr>
      <w:r w:rsidRPr="000218E9">
        <w:rPr>
          <w:rFonts w:cs="Arial"/>
          <w:sz w:val="20"/>
          <w:szCs w:val="22"/>
          <w:lang w:val="en-US"/>
        </w:rPr>
        <w:t>Main span</w:t>
      </w:r>
      <w:r w:rsidR="001B5C8D" w:rsidRPr="000218E9">
        <w:rPr>
          <w:rFonts w:cs="Arial"/>
          <w:sz w:val="20"/>
          <w:szCs w:val="22"/>
          <w:lang w:val="en-US"/>
        </w:rPr>
        <w:t>:</w:t>
      </w:r>
      <w:r w:rsidR="001B5C8D" w:rsidRPr="000218E9">
        <w:rPr>
          <w:rFonts w:cs="Arial"/>
          <w:sz w:val="20"/>
          <w:szCs w:val="22"/>
          <w:lang w:val="en-US"/>
        </w:rPr>
        <w:tab/>
      </w:r>
      <w:r w:rsidR="001B5C8D" w:rsidRPr="000218E9">
        <w:rPr>
          <w:rFonts w:cs="Arial"/>
          <w:sz w:val="20"/>
          <w:szCs w:val="22"/>
          <w:lang w:val="en-US"/>
        </w:rPr>
        <w:tab/>
        <w:t xml:space="preserve"> 506 m</w:t>
      </w:r>
    </w:p>
    <w:p w14:paraId="1EF78746" w14:textId="24A61A67" w:rsidR="001B5C8D" w:rsidRPr="00A46933" w:rsidRDefault="000218E9" w:rsidP="001B5C8D">
      <w:pPr>
        <w:tabs>
          <w:tab w:val="left" w:pos="1990"/>
          <w:tab w:val="left" w:pos="2835"/>
        </w:tabs>
        <w:spacing w:line="264" w:lineRule="auto"/>
        <w:ind w:left="2835" w:hanging="2835"/>
        <w:contextualSpacing/>
        <w:rPr>
          <w:rFonts w:cs="Arial"/>
          <w:sz w:val="20"/>
          <w:szCs w:val="22"/>
          <w:lang w:val="en-US"/>
        </w:rPr>
      </w:pPr>
      <w:r w:rsidRPr="00A46933">
        <w:rPr>
          <w:rFonts w:cs="Arial"/>
          <w:sz w:val="20"/>
          <w:szCs w:val="22"/>
          <w:lang w:val="en-US"/>
        </w:rPr>
        <w:t>Length</w:t>
      </w:r>
      <w:r w:rsidR="001B5C8D" w:rsidRPr="00A46933">
        <w:rPr>
          <w:rFonts w:cs="Arial"/>
          <w:sz w:val="20"/>
          <w:szCs w:val="22"/>
          <w:lang w:val="en-US"/>
        </w:rPr>
        <w:t>:</w:t>
      </w:r>
      <w:r w:rsidR="001B5C8D" w:rsidRPr="00A46933">
        <w:rPr>
          <w:sz w:val="20"/>
          <w:szCs w:val="20"/>
          <w:lang w:val="en-US"/>
        </w:rPr>
        <w:tab/>
      </w:r>
      <w:r w:rsidR="001B5C8D" w:rsidRPr="00A46933">
        <w:rPr>
          <w:sz w:val="20"/>
          <w:szCs w:val="20"/>
          <w:lang w:val="en-US"/>
        </w:rPr>
        <w:tab/>
        <w:t xml:space="preserve"> </w:t>
      </w:r>
      <w:r w:rsidR="00106925" w:rsidRPr="00A46933">
        <w:rPr>
          <w:sz w:val="20"/>
          <w:szCs w:val="20"/>
          <w:lang w:val="en-US"/>
        </w:rPr>
        <w:t>10</w:t>
      </w:r>
      <w:proofErr w:type="gramStart"/>
      <w:r w:rsidR="00106925" w:rsidRPr="00A46933">
        <w:rPr>
          <w:sz w:val="20"/>
          <w:szCs w:val="20"/>
          <w:lang w:val="en-US"/>
        </w:rPr>
        <w:t>,36</w:t>
      </w:r>
      <w:proofErr w:type="gramEnd"/>
      <w:r w:rsidR="00106925" w:rsidRPr="00A46933">
        <w:rPr>
          <w:sz w:val="20"/>
          <w:szCs w:val="20"/>
          <w:lang w:val="en-US"/>
        </w:rPr>
        <w:t xml:space="preserve"> km</w:t>
      </w:r>
      <w:r w:rsidR="004C4B7F" w:rsidRPr="00A46933">
        <w:rPr>
          <w:sz w:val="20"/>
          <w:szCs w:val="20"/>
          <w:lang w:val="en-US"/>
        </w:rPr>
        <w:t xml:space="preserve"> (Bridge and connecting roads</w:t>
      </w:r>
      <w:r w:rsidR="001B5C8D" w:rsidRPr="00A46933">
        <w:rPr>
          <w:sz w:val="20"/>
          <w:szCs w:val="20"/>
          <w:lang w:val="en-US"/>
        </w:rPr>
        <w:t xml:space="preserve">) </w:t>
      </w:r>
    </w:p>
    <w:p w14:paraId="190D5083" w14:textId="7D7D1529" w:rsidR="001B5C8D" w:rsidRPr="00106925" w:rsidRDefault="00BC0BFF" w:rsidP="001B5C8D">
      <w:pPr>
        <w:tabs>
          <w:tab w:val="left" w:pos="1990"/>
          <w:tab w:val="left" w:pos="2835"/>
        </w:tabs>
        <w:spacing w:line="264" w:lineRule="auto"/>
        <w:contextualSpacing/>
        <w:rPr>
          <w:rFonts w:cs="Arial"/>
          <w:sz w:val="20"/>
          <w:szCs w:val="22"/>
          <w:lang w:val="en-US"/>
        </w:rPr>
      </w:pPr>
      <w:r w:rsidRPr="00106925">
        <w:rPr>
          <w:sz w:val="20"/>
          <w:szCs w:val="22"/>
          <w:lang w:val="en-US"/>
        </w:rPr>
        <w:t>Height of pylon</w:t>
      </w:r>
      <w:r w:rsidR="001B5C8D" w:rsidRPr="00106925">
        <w:rPr>
          <w:rFonts w:cs="Arial"/>
          <w:sz w:val="20"/>
          <w:szCs w:val="22"/>
          <w:lang w:val="en-US"/>
        </w:rPr>
        <w:t>:</w:t>
      </w:r>
      <w:r w:rsidR="001B5C8D" w:rsidRPr="00106925">
        <w:rPr>
          <w:rFonts w:cs="Arial"/>
          <w:sz w:val="20"/>
          <w:szCs w:val="22"/>
          <w:lang w:val="en-US"/>
        </w:rPr>
        <w:tab/>
      </w:r>
      <w:r w:rsidR="001B5C8D" w:rsidRPr="00106925">
        <w:rPr>
          <w:rFonts w:cs="Arial"/>
          <w:sz w:val="20"/>
          <w:szCs w:val="22"/>
          <w:lang w:val="en-US"/>
        </w:rPr>
        <w:tab/>
        <w:t xml:space="preserve"> 164 m</w:t>
      </w:r>
    </w:p>
    <w:p w14:paraId="2ED68164" w14:textId="61615FE8" w:rsidR="001B5C8D" w:rsidRPr="00106925" w:rsidRDefault="000218E9" w:rsidP="001B5C8D">
      <w:pPr>
        <w:tabs>
          <w:tab w:val="left" w:pos="2835"/>
        </w:tabs>
        <w:spacing w:line="264" w:lineRule="auto"/>
        <w:contextualSpacing/>
        <w:rPr>
          <w:rFonts w:cs="Arial"/>
          <w:color w:val="auto"/>
          <w:sz w:val="18"/>
          <w:szCs w:val="22"/>
          <w:lang w:val="en-US"/>
        </w:rPr>
      </w:pPr>
      <w:r w:rsidRPr="000218E9">
        <w:rPr>
          <w:rFonts w:cs="Arial"/>
          <w:sz w:val="20"/>
          <w:szCs w:val="22"/>
          <w:lang w:val="en-US"/>
        </w:rPr>
        <w:t>Developer</w:t>
      </w:r>
      <w:r w:rsidR="001B5C8D" w:rsidRPr="000218E9">
        <w:rPr>
          <w:rFonts w:cs="Arial"/>
          <w:sz w:val="20"/>
          <w:szCs w:val="22"/>
          <w:lang w:val="en-US"/>
        </w:rPr>
        <w:t>:</w:t>
      </w:r>
      <w:r w:rsidR="001B5C8D" w:rsidRPr="000218E9">
        <w:rPr>
          <w:rFonts w:cs="Arial"/>
          <w:sz w:val="20"/>
          <w:szCs w:val="22"/>
          <w:lang w:val="en-US"/>
        </w:rPr>
        <w:tab/>
        <w:t xml:space="preserve"> </w:t>
      </w:r>
      <w:r w:rsidR="00106925" w:rsidRPr="00106925">
        <w:rPr>
          <w:rFonts w:cs="Arial"/>
          <w:color w:val="auto"/>
          <w:sz w:val="20"/>
          <w:szCs w:val="22"/>
          <w:lang w:val="en-US"/>
        </w:rPr>
        <w:t>Texas Department of Transportation (</w:t>
      </w:r>
      <w:proofErr w:type="spellStart"/>
      <w:r w:rsidR="00106925" w:rsidRPr="00106925">
        <w:rPr>
          <w:rFonts w:cs="Arial"/>
          <w:color w:val="auto"/>
          <w:sz w:val="20"/>
          <w:szCs w:val="22"/>
          <w:lang w:val="en-US"/>
        </w:rPr>
        <w:t>TxDOT</w:t>
      </w:r>
      <w:proofErr w:type="spellEnd"/>
      <w:r w:rsidR="00106925" w:rsidRPr="00106925">
        <w:rPr>
          <w:rFonts w:cs="Arial"/>
          <w:color w:val="auto"/>
          <w:sz w:val="20"/>
          <w:szCs w:val="22"/>
          <w:lang w:val="en-US"/>
        </w:rPr>
        <w:t>)</w:t>
      </w:r>
    </w:p>
    <w:p w14:paraId="762E9DF6" w14:textId="03A68B5F" w:rsidR="001B5C8D" w:rsidRPr="000218E9" w:rsidRDefault="000218E9" w:rsidP="001B5C8D">
      <w:pPr>
        <w:tabs>
          <w:tab w:val="left" w:pos="2835"/>
        </w:tabs>
        <w:spacing w:line="264" w:lineRule="auto"/>
        <w:contextualSpacing/>
        <w:rPr>
          <w:rFonts w:cs="Arial"/>
          <w:sz w:val="20"/>
          <w:szCs w:val="22"/>
          <w:lang w:val="en-US"/>
        </w:rPr>
      </w:pPr>
      <w:r w:rsidRPr="000218E9">
        <w:rPr>
          <w:rFonts w:cs="Arial"/>
          <w:sz w:val="20"/>
          <w:szCs w:val="22"/>
          <w:lang w:val="en-US"/>
        </w:rPr>
        <w:t>Contractor</w:t>
      </w:r>
      <w:r w:rsidR="001B5C8D" w:rsidRPr="000218E9">
        <w:rPr>
          <w:rFonts w:cs="Arial"/>
          <w:sz w:val="20"/>
          <w:szCs w:val="22"/>
          <w:lang w:val="en-US"/>
        </w:rPr>
        <w:t>:</w:t>
      </w:r>
      <w:r w:rsidR="001B5C8D" w:rsidRPr="000218E9">
        <w:rPr>
          <w:rFonts w:cs="Arial"/>
          <w:sz w:val="20"/>
          <w:szCs w:val="22"/>
          <w:lang w:val="en-US"/>
        </w:rPr>
        <w:tab/>
        <w:t xml:space="preserve"> Flatiron/</w:t>
      </w:r>
      <w:proofErr w:type="spellStart"/>
      <w:r w:rsidR="001B5C8D" w:rsidRPr="000218E9">
        <w:rPr>
          <w:rFonts w:cs="Arial"/>
          <w:sz w:val="20"/>
          <w:szCs w:val="22"/>
          <w:lang w:val="en-US"/>
        </w:rPr>
        <w:t>Dragados</w:t>
      </w:r>
      <w:proofErr w:type="spellEnd"/>
      <w:r w:rsidR="001B5C8D" w:rsidRPr="000218E9">
        <w:rPr>
          <w:rFonts w:cs="Arial"/>
          <w:sz w:val="20"/>
          <w:szCs w:val="22"/>
          <w:lang w:val="en-US"/>
        </w:rPr>
        <w:t>, LLC</w:t>
      </w:r>
    </w:p>
    <w:p w14:paraId="756ECEE4" w14:textId="7417B380" w:rsidR="001B5C8D" w:rsidRPr="00364B21" w:rsidRDefault="000218E9" w:rsidP="001B5C8D">
      <w:pPr>
        <w:tabs>
          <w:tab w:val="left" w:pos="2835"/>
        </w:tabs>
        <w:spacing w:line="264" w:lineRule="auto"/>
        <w:contextualSpacing/>
        <w:rPr>
          <w:rFonts w:cs="Arial"/>
          <w:sz w:val="20"/>
          <w:szCs w:val="22"/>
          <w:lang w:val="en-US"/>
        </w:rPr>
      </w:pPr>
      <w:r w:rsidRPr="00364B21">
        <w:rPr>
          <w:rFonts w:cs="Arial"/>
          <w:sz w:val="20"/>
          <w:szCs w:val="22"/>
          <w:lang w:val="en-US"/>
        </w:rPr>
        <w:t>Architec</w:t>
      </w:r>
      <w:r w:rsidR="001B5C8D" w:rsidRPr="00364B21">
        <w:rPr>
          <w:rFonts w:cs="Arial"/>
          <w:sz w:val="20"/>
          <w:szCs w:val="22"/>
          <w:lang w:val="en-US"/>
        </w:rPr>
        <w:t>t:</w:t>
      </w:r>
      <w:r w:rsidR="001B5C8D" w:rsidRPr="00364B21">
        <w:rPr>
          <w:rFonts w:cs="Arial"/>
          <w:sz w:val="20"/>
          <w:szCs w:val="22"/>
          <w:lang w:val="en-US"/>
        </w:rPr>
        <w:tab/>
        <w:t xml:space="preserve"> FIGG</w:t>
      </w:r>
    </w:p>
    <w:p w14:paraId="3703E9A7" w14:textId="77777777" w:rsidR="001B5C8D" w:rsidRPr="00364B21" w:rsidRDefault="001B5C8D" w:rsidP="001B5C8D">
      <w:pPr>
        <w:tabs>
          <w:tab w:val="left" w:pos="2835"/>
        </w:tabs>
        <w:spacing w:line="264" w:lineRule="auto"/>
        <w:contextualSpacing/>
        <w:rPr>
          <w:rFonts w:cs="Arial"/>
          <w:sz w:val="20"/>
          <w:szCs w:val="22"/>
          <w:lang w:val="en-US"/>
        </w:rPr>
      </w:pPr>
    </w:p>
    <w:p w14:paraId="2C278A01" w14:textId="6CE37A06" w:rsidR="001B5C8D" w:rsidRPr="00EB04B0" w:rsidRDefault="00391663" w:rsidP="00EF5909">
      <w:pPr>
        <w:tabs>
          <w:tab w:val="left" w:pos="2835"/>
        </w:tabs>
        <w:spacing w:line="264" w:lineRule="auto"/>
        <w:ind w:left="2835" w:hanging="2835"/>
        <w:contextualSpacing/>
        <w:rPr>
          <w:rFonts w:cs="Arial"/>
          <w:sz w:val="20"/>
          <w:szCs w:val="22"/>
          <w:lang w:val="en-US"/>
        </w:rPr>
      </w:pPr>
      <w:r w:rsidRPr="00EB04B0">
        <w:rPr>
          <w:rFonts w:cs="Arial"/>
          <w:sz w:val="20"/>
          <w:szCs w:val="22"/>
          <w:lang w:val="en-US"/>
        </w:rPr>
        <w:t>Systems used:</w:t>
      </w:r>
      <w:r w:rsidRPr="00EB04B0">
        <w:rPr>
          <w:rFonts w:cs="Arial"/>
          <w:sz w:val="20"/>
          <w:szCs w:val="22"/>
          <w:lang w:val="en-US"/>
        </w:rPr>
        <w:tab/>
      </w:r>
      <w:r w:rsidR="00EB04B0" w:rsidRPr="00EB04B0">
        <w:rPr>
          <w:sz w:val="20"/>
          <w:szCs w:val="22"/>
          <w:lang w:val="en-US"/>
        </w:rPr>
        <w:t>Large-area formwork Top 50</w:t>
      </w:r>
      <w:r w:rsidR="001B5C8D" w:rsidRPr="00EB04B0">
        <w:rPr>
          <w:rFonts w:cs="Arial"/>
          <w:sz w:val="20"/>
          <w:szCs w:val="22"/>
          <w:lang w:val="en-US"/>
        </w:rPr>
        <w:t xml:space="preserve">, </w:t>
      </w:r>
      <w:r w:rsidR="00737C2A">
        <w:rPr>
          <w:sz w:val="20"/>
          <w:szCs w:val="22"/>
          <w:lang w:val="en-US"/>
        </w:rPr>
        <w:t>Automatic climbing f</w:t>
      </w:r>
      <w:r w:rsidR="00EB04B0" w:rsidRPr="00EB04B0">
        <w:rPr>
          <w:sz w:val="20"/>
          <w:szCs w:val="22"/>
          <w:lang w:val="en-US"/>
        </w:rPr>
        <w:t>ormwork SKE 50</w:t>
      </w:r>
      <w:r w:rsidR="001B5C8D" w:rsidRPr="00EB04B0">
        <w:rPr>
          <w:rFonts w:cs="Arial"/>
          <w:sz w:val="20"/>
          <w:szCs w:val="22"/>
          <w:lang w:val="en-US"/>
        </w:rPr>
        <w:t>,</w:t>
      </w:r>
      <w:r w:rsidR="00C65F5B" w:rsidRPr="00EB04B0">
        <w:rPr>
          <w:rFonts w:cs="Arial"/>
          <w:sz w:val="20"/>
          <w:szCs w:val="22"/>
          <w:lang w:val="en-US"/>
        </w:rPr>
        <w:t xml:space="preserve"> </w:t>
      </w:r>
      <w:r w:rsidR="00737C2A">
        <w:rPr>
          <w:sz w:val="20"/>
          <w:szCs w:val="22"/>
          <w:lang w:val="en-US"/>
        </w:rPr>
        <w:t>Automatic climbing f</w:t>
      </w:r>
      <w:r w:rsidR="00EB04B0">
        <w:rPr>
          <w:sz w:val="20"/>
          <w:szCs w:val="22"/>
          <w:lang w:val="en-US"/>
        </w:rPr>
        <w:t xml:space="preserve">ormwork </w:t>
      </w:r>
      <w:r w:rsidR="001B5C8D" w:rsidRPr="00EB04B0">
        <w:rPr>
          <w:rFonts w:cs="Arial"/>
          <w:sz w:val="20"/>
          <w:szCs w:val="22"/>
          <w:lang w:val="en-US"/>
        </w:rPr>
        <w:t>SKE100 plus,</w:t>
      </w:r>
      <w:r w:rsidR="00EF5909">
        <w:rPr>
          <w:rFonts w:cs="Arial"/>
          <w:sz w:val="20"/>
          <w:szCs w:val="22"/>
          <w:lang w:val="en-US"/>
        </w:rPr>
        <w:t xml:space="preserve"> Guided climbing formwork </w:t>
      </w:r>
      <w:r w:rsidR="001B5C8D" w:rsidRPr="00EB04B0">
        <w:rPr>
          <w:rFonts w:cs="Arial"/>
          <w:sz w:val="20"/>
          <w:szCs w:val="22"/>
          <w:lang w:val="en-US"/>
        </w:rPr>
        <w:t>Xclimb</w:t>
      </w:r>
      <w:r w:rsidR="00EF5909">
        <w:rPr>
          <w:rFonts w:cs="Arial"/>
          <w:sz w:val="20"/>
          <w:szCs w:val="22"/>
          <w:lang w:val="en-US"/>
        </w:rPr>
        <w:t xml:space="preserve"> 60, S</w:t>
      </w:r>
      <w:r w:rsidR="00EB04B0">
        <w:rPr>
          <w:rFonts w:cs="Arial"/>
          <w:sz w:val="20"/>
          <w:szCs w:val="22"/>
          <w:lang w:val="en-US"/>
        </w:rPr>
        <w:t>haft platforms</w:t>
      </w:r>
    </w:p>
    <w:p w14:paraId="2CEC2B63" w14:textId="64A70E4C" w:rsidR="001B5C8D" w:rsidRPr="008B5E22" w:rsidRDefault="000218E9" w:rsidP="001B5C8D">
      <w:pPr>
        <w:tabs>
          <w:tab w:val="left" w:pos="2835"/>
        </w:tabs>
        <w:spacing w:line="264" w:lineRule="auto"/>
        <w:ind w:left="2835" w:hanging="2835"/>
        <w:contextualSpacing/>
        <w:rPr>
          <w:rFonts w:cs="Arial"/>
          <w:sz w:val="20"/>
          <w:szCs w:val="22"/>
          <w:lang w:val="en-US"/>
        </w:rPr>
      </w:pPr>
      <w:r w:rsidRPr="008B5E22">
        <w:rPr>
          <w:rFonts w:cs="Arial"/>
          <w:sz w:val="20"/>
          <w:szCs w:val="22"/>
          <w:lang w:val="en-US"/>
        </w:rPr>
        <w:t>Services</w:t>
      </w:r>
      <w:r w:rsidR="001B5C8D" w:rsidRPr="008B5E22">
        <w:rPr>
          <w:rFonts w:cs="Arial"/>
          <w:sz w:val="20"/>
          <w:szCs w:val="22"/>
          <w:lang w:val="en-US"/>
        </w:rPr>
        <w:t xml:space="preserve">: </w:t>
      </w:r>
      <w:r w:rsidR="00391663" w:rsidRPr="008B5E22">
        <w:rPr>
          <w:rFonts w:cs="Arial"/>
          <w:sz w:val="20"/>
          <w:szCs w:val="22"/>
          <w:lang w:val="en-US"/>
        </w:rPr>
        <w:t xml:space="preserve">                                   </w:t>
      </w:r>
      <w:r w:rsidR="008B5E22" w:rsidRPr="008B5E22">
        <w:rPr>
          <w:rFonts w:cs="Arial"/>
          <w:sz w:val="20"/>
          <w:szCs w:val="22"/>
          <w:lang w:val="en-US"/>
        </w:rPr>
        <w:t>3D planning, Project manag</w:t>
      </w:r>
      <w:r w:rsidR="008B5E22">
        <w:rPr>
          <w:rFonts w:cs="Arial"/>
          <w:sz w:val="20"/>
          <w:szCs w:val="22"/>
          <w:lang w:val="en-US"/>
        </w:rPr>
        <w:t>ement, Formwork instructor</w:t>
      </w:r>
    </w:p>
    <w:p w14:paraId="7B49334D" w14:textId="77777777" w:rsidR="001B5C8D" w:rsidRPr="008B5E22" w:rsidRDefault="001B5C8D" w:rsidP="001B5C8D">
      <w:pPr>
        <w:tabs>
          <w:tab w:val="left" w:pos="2835"/>
        </w:tabs>
        <w:spacing w:line="264" w:lineRule="auto"/>
        <w:ind w:left="2835" w:hanging="2835"/>
        <w:rPr>
          <w:rFonts w:cs="Arial"/>
          <w:sz w:val="20"/>
          <w:szCs w:val="22"/>
          <w:lang w:val="en-US"/>
        </w:rPr>
      </w:pPr>
    </w:p>
    <w:p w14:paraId="6CD556FE" w14:textId="77777777" w:rsidR="001B5C8D" w:rsidRPr="008B5E22" w:rsidRDefault="001B5C8D" w:rsidP="001B5C8D">
      <w:pPr>
        <w:rPr>
          <w:b/>
          <w:sz w:val="20"/>
          <w:szCs w:val="20"/>
          <w:lang w:val="en-US"/>
        </w:rPr>
      </w:pPr>
    </w:p>
    <w:tbl>
      <w:tblPr>
        <w:tblW w:w="0" w:type="auto"/>
        <w:tblLayout w:type="fixed"/>
        <w:tblLook w:val="04A0" w:firstRow="1" w:lastRow="0" w:firstColumn="1" w:lastColumn="0" w:noHBand="0" w:noVBand="1"/>
      </w:tblPr>
      <w:tblGrid>
        <w:gridCol w:w="4111"/>
        <w:gridCol w:w="4157"/>
      </w:tblGrid>
      <w:tr w:rsidR="001B5C8D" w:rsidRPr="00BC428D" w14:paraId="6F084462" w14:textId="77777777" w:rsidTr="00367C0A">
        <w:trPr>
          <w:trHeight w:val="136"/>
        </w:trPr>
        <w:tc>
          <w:tcPr>
            <w:tcW w:w="8268" w:type="dxa"/>
            <w:gridSpan w:val="2"/>
            <w:tcBorders>
              <w:top w:val="single" w:sz="4" w:space="0" w:color="auto"/>
              <w:left w:val="single" w:sz="4" w:space="0" w:color="auto"/>
              <w:bottom w:val="single" w:sz="4" w:space="0" w:color="auto"/>
              <w:right w:val="single" w:sz="4" w:space="0" w:color="auto"/>
            </w:tcBorders>
          </w:tcPr>
          <w:p w14:paraId="4F774CD4" w14:textId="77777777" w:rsidR="001B5C8D" w:rsidRPr="008B5E22" w:rsidRDefault="001B5C8D" w:rsidP="00367C0A">
            <w:pPr>
              <w:spacing w:line="276" w:lineRule="auto"/>
              <w:rPr>
                <w:b/>
                <w:sz w:val="20"/>
                <w:szCs w:val="16"/>
                <w:lang w:val="en-US"/>
              </w:rPr>
            </w:pPr>
          </w:p>
          <w:p w14:paraId="0A08C3F1" w14:textId="77777777" w:rsidR="000604BB" w:rsidRPr="000604BB" w:rsidRDefault="000604BB" w:rsidP="000604BB">
            <w:pPr>
              <w:spacing w:line="276" w:lineRule="auto"/>
              <w:rPr>
                <w:b/>
                <w:sz w:val="20"/>
                <w:szCs w:val="16"/>
                <w:lang w:val="en-US"/>
              </w:rPr>
            </w:pPr>
            <w:r w:rsidRPr="000604BB">
              <w:rPr>
                <w:b/>
                <w:sz w:val="20"/>
                <w:szCs w:val="16"/>
                <w:lang w:val="en-US"/>
              </w:rPr>
              <w:t>Photos:</w:t>
            </w:r>
          </w:p>
          <w:p w14:paraId="0135DA6A" w14:textId="42C5414F" w:rsidR="000604BB" w:rsidRPr="000604BB" w:rsidRDefault="000604BB" w:rsidP="00367C0A">
            <w:pPr>
              <w:spacing w:line="276" w:lineRule="auto"/>
              <w:rPr>
                <w:rFonts w:cs="Arial"/>
                <w:sz w:val="20"/>
                <w:szCs w:val="20"/>
                <w:lang w:val="en-US"/>
              </w:rPr>
            </w:pPr>
            <w:r w:rsidRPr="000604BB">
              <w:rPr>
                <w:sz w:val="20"/>
                <w:szCs w:val="16"/>
                <w:lang w:val="en-US"/>
              </w:rPr>
              <w:t xml:space="preserve">Please include details of </w:t>
            </w:r>
            <w:r w:rsidR="00C07851">
              <w:rPr>
                <w:sz w:val="20"/>
                <w:szCs w:val="16"/>
                <w:lang w:val="en-US"/>
              </w:rPr>
              <w:t xml:space="preserve">the </w:t>
            </w:r>
            <w:r w:rsidRPr="000604BB">
              <w:rPr>
                <w:sz w:val="20"/>
                <w:szCs w:val="16"/>
                <w:lang w:val="en-US"/>
              </w:rPr>
              <w:t>copyright for publication.</w:t>
            </w:r>
          </w:p>
          <w:p w14:paraId="2516996A" w14:textId="77777777" w:rsidR="001B5C8D" w:rsidRPr="000604BB" w:rsidRDefault="001B5C8D" w:rsidP="00367C0A">
            <w:pPr>
              <w:spacing w:line="276" w:lineRule="auto"/>
              <w:rPr>
                <w:sz w:val="16"/>
                <w:szCs w:val="16"/>
                <w:lang w:val="en-US"/>
              </w:rPr>
            </w:pPr>
          </w:p>
        </w:tc>
      </w:tr>
      <w:tr w:rsidR="001B5C8D" w:rsidRPr="00BC428D" w14:paraId="5D73CABA" w14:textId="77777777" w:rsidTr="00367C0A">
        <w:trPr>
          <w:trHeight w:val="2760"/>
        </w:trPr>
        <w:tc>
          <w:tcPr>
            <w:tcW w:w="4111" w:type="dxa"/>
            <w:tcBorders>
              <w:top w:val="single" w:sz="4" w:space="0" w:color="auto"/>
              <w:left w:val="single" w:sz="4" w:space="0" w:color="auto"/>
              <w:bottom w:val="single" w:sz="4" w:space="0" w:color="auto"/>
              <w:right w:val="single" w:sz="4" w:space="0" w:color="auto"/>
            </w:tcBorders>
          </w:tcPr>
          <w:p w14:paraId="2B344B61" w14:textId="77777777" w:rsidR="001B5C8D" w:rsidRDefault="001B5C8D" w:rsidP="00367C0A">
            <w:pPr>
              <w:tabs>
                <w:tab w:val="right" w:pos="3895"/>
              </w:tabs>
              <w:rPr>
                <w:noProof/>
                <w:lang w:val="en-US"/>
              </w:rPr>
            </w:pPr>
            <w:r>
              <w:rPr>
                <w:noProof/>
                <w:lang w:eastAsia="de-DE"/>
              </w:rPr>
              <w:drawing>
                <wp:inline distT="0" distB="0" distL="0" distR="0" wp14:anchorId="2A13AF75" wp14:editId="503EDF77">
                  <wp:extent cx="1689100" cy="2520950"/>
                  <wp:effectExtent l="0" t="0" r="0" b="0"/>
                  <wp:docPr id="7" name="Grafik 7" descr="US181 Harbor Brid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181 Harbor Bridge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9100" cy="2520950"/>
                          </a:xfrm>
                          <a:prstGeom prst="rect">
                            <a:avLst/>
                          </a:prstGeom>
                          <a:noFill/>
                          <a:ln>
                            <a:noFill/>
                          </a:ln>
                        </pic:spPr>
                      </pic:pic>
                    </a:graphicData>
                  </a:graphic>
                </wp:inline>
              </w:drawing>
            </w:r>
          </w:p>
          <w:p w14:paraId="103C91BF" w14:textId="77777777" w:rsidR="001B5C8D" w:rsidRPr="00F25886" w:rsidRDefault="001B5C8D" w:rsidP="00367C0A">
            <w:pPr>
              <w:tabs>
                <w:tab w:val="right" w:pos="3895"/>
              </w:tabs>
              <w:rPr>
                <w:noProof/>
                <w:sz w:val="6"/>
                <w:szCs w:val="16"/>
              </w:rPr>
            </w:pPr>
          </w:p>
        </w:tc>
        <w:tc>
          <w:tcPr>
            <w:tcW w:w="4157" w:type="dxa"/>
            <w:tcBorders>
              <w:top w:val="single" w:sz="4" w:space="0" w:color="auto"/>
              <w:left w:val="single" w:sz="4" w:space="0" w:color="auto"/>
              <w:bottom w:val="single" w:sz="4" w:space="0" w:color="auto"/>
              <w:right w:val="single" w:sz="4" w:space="0" w:color="auto"/>
            </w:tcBorders>
          </w:tcPr>
          <w:p w14:paraId="7EB00721" w14:textId="77777777" w:rsidR="001B5C8D" w:rsidRPr="00203D0A" w:rsidRDefault="001B5C8D" w:rsidP="00367C0A">
            <w:pPr>
              <w:spacing w:line="276" w:lineRule="auto"/>
              <w:rPr>
                <w:sz w:val="20"/>
                <w:szCs w:val="20"/>
              </w:rPr>
            </w:pPr>
          </w:p>
          <w:p w14:paraId="1ECAEA34" w14:textId="645E5DC7" w:rsidR="00A63C85" w:rsidRPr="00A63C85" w:rsidRDefault="00A63C85" w:rsidP="00A63C85">
            <w:pPr>
              <w:spacing w:line="276" w:lineRule="auto"/>
              <w:rPr>
                <w:sz w:val="18"/>
                <w:szCs w:val="20"/>
                <w:lang w:val="en-US"/>
              </w:rPr>
            </w:pPr>
            <w:r w:rsidRPr="00A63C85">
              <w:rPr>
                <w:sz w:val="20"/>
                <w:lang w:val="en-US"/>
              </w:rPr>
              <w:t>US 181 Harbor Bridge is America’s longest cable-stayed bridge.</w:t>
            </w:r>
          </w:p>
          <w:p w14:paraId="14AC2373" w14:textId="2AD89FE3" w:rsidR="00A63C85" w:rsidRPr="00A63C85" w:rsidRDefault="00A63C85" w:rsidP="00367C0A">
            <w:pPr>
              <w:spacing w:line="276" w:lineRule="auto"/>
              <w:rPr>
                <w:sz w:val="20"/>
                <w:szCs w:val="20"/>
                <w:lang w:val="en-GB"/>
              </w:rPr>
            </w:pPr>
          </w:p>
          <w:p w14:paraId="537A8847" w14:textId="77777777" w:rsidR="00A63C85" w:rsidRPr="00A63C85" w:rsidRDefault="00A63C85" w:rsidP="00367C0A">
            <w:pPr>
              <w:spacing w:line="276" w:lineRule="auto"/>
              <w:rPr>
                <w:sz w:val="20"/>
                <w:szCs w:val="20"/>
                <w:lang w:val="en-US"/>
              </w:rPr>
            </w:pPr>
          </w:p>
          <w:p w14:paraId="4E962674" w14:textId="2C4E63EA" w:rsidR="001B5C8D" w:rsidRPr="003E6636" w:rsidRDefault="00A63C85" w:rsidP="00367C0A">
            <w:pPr>
              <w:spacing w:line="276" w:lineRule="auto"/>
              <w:rPr>
                <w:sz w:val="20"/>
                <w:szCs w:val="20"/>
                <w:lang w:val="en-US"/>
              </w:rPr>
            </w:pPr>
            <w:r>
              <w:rPr>
                <w:sz w:val="20"/>
                <w:szCs w:val="20"/>
                <w:lang w:val="en-US"/>
              </w:rPr>
              <w:t>Ph</w:t>
            </w:r>
            <w:r w:rsidR="001B5C8D" w:rsidRPr="003E6636">
              <w:rPr>
                <w:sz w:val="20"/>
                <w:szCs w:val="20"/>
                <w:lang w:val="en-US"/>
              </w:rPr>
              <w:t xml:space="preserve">oto: </w:t>
            </w:r>
            <w:r w:rsidR="001B5C8D">
              <w:rPr>
                <w:sz w:val="20"/>
                <w:szCs w:val="20"/>
                <w:lang w:val="en-US"/>
              </w:rPr>
              <w:t>US</w:t>
            </w:r>
            <w:r w:rsidR="00364B21">
              <w:rPr>
                <w:sz w:val="20"/>
                <w:szCs w:val="20"/>
                <w:lang w:val="en-US"/>
              </w:rPr>
              <w:t xml:space="preserve"> </w:t>
            </w:r>
            <w:r w:rsidR="001B5C8D">
              <w:rPr>
                <w:sz w:val="20"/>
                <w:szCs w:val="20"/>
                <w:lang w:val="en-US"/>
              </w:rPr>
              <w:t>181 Harbor Bridge_1</w:t>
            </w:r>
            <w:r w:rsidR="001B5C8D" w:rsidRPr="003E6636">
              <w:rPr>
                <w:sz w:val="20"/>
                <w:szCs w:val="20"/>
                <w:lang w:val="en-US"/>
              </w:rPr>
              <w:t>.jpg</w:t>
            </w:r>
          </w:p>
          <w:p w14:paraId="714E21CE" w14:textId="77777777" w:rsidR="001B5C8D" w:rsidRPr="00C8260A" w:rsidRDefault="001B5C8D" w:rsidP="00367C0A">
            <w:pPr>
              <w:spacing w:line="276" w:lineRule="auto"/>
              <w:rPr>
                <w:sz w:val="20"/>
                <w:szCs w:val="20"/>
                <w:highlight w:val="yellow"/>
                <w:lang w:val="en-US"/>
              </w:rPr>
            </w:pPr>
            <w:r w:rsidRPr="003E6636">
              <w:rPr>
                <w:sz w:val="20"/>
                <w:szCs w:val="20"/>
                <w:shd w:val="clear" w:color="auto" w:fill="FFFFFF" w:themeFill="background1"/>
                <w:lang w:val="en-US"/>
              </w:rPr>
              <w:t xml:space="preserve">Copyright: </w:t>
            </w:r>
            <w:proofErr w:type="spellStart"/>
            <w:r>
              <w:rPr>
                <w:sz w:val="20"/>
                <w:szCs w:val="20"/>
                <w:shd w:val="clear" w:color="auto" w:fill="FFFFFF" w:themeFill="background1"/>
                <w:lang w:val="en-GB"/>
              </w:rPr>
              <w:t>Doka</w:t>
            </w:r>
            <w:proofErr w:type="spellEnd"/>
          </w:p>
        </w:tc>
      </w:tr>
      <w:tr w:rsidR="001B5C8D" w:rsidRPr="00BC428D" w14:paraId="293346FE" w14:textId="77777777" w:rsidTr="00367C0A">
        <w:trPr>
          <w:trHeight w:val="1503"/>
        </w:trPr>
        <w:tc>
          <w:tcPr>
            <w:tcW w:w="4111" w:type="dxa"/>
            <w:tcBorders>
              <w:top w:val="single" w:sz="4" w:space="0" w:color="auto"/>
              <w:left w:val="single" w:sz="4" w:space="0" w:color="auto"/>
              <w:bottom w:val="single" w:sz="4" w:space="0" w:color="auto"/>
              <w:right w:val="single" w:sz="4" w:space="0" w:color="auto"/>
            </w:tcBorders>
          </w:tcPr>
          <w:p w14:paraId="3E353B2E" w14:textId="77777777" w:rsidR="001B5C8D" w:rsidRPr="00FF20A7" w:rsidRDefault="001B5C8D" w:rsidP="00367C0A">
            <w:pPr>
              <w:spacing w:line="276" w:lineRule="auto"/>
              <w:rPr>
                <w:noProof/>
                <w:sz w:val="6"/>
                <w:lang w:val="en-US"/>
              </w:rPr>
            </w:pPr>
            <w:r>
              <w:rPr>
                <w:noProof/>
                <w:lang w:eastAsia="de-DE"/>
              </w:rPr>
              <w:lastRenderedPageBreak/>
              <w:drawing>
                <wp:inline distT="0" distB="0" distL="0" distR="0" wp14:anchorId="170FA868" wp14:editId="4CCE08E1">
                  <wp:extent cx="2520950" cy="1682750"/>
                  <wp:effectExtent l="0" t="0" r="0" b="0"/>
                  <wp:docPr id="6" name="Grafik 6" descr="US181 Harbor Brid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181 Harbor Bridge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950" cy="1682750"/>
                          </a:xfrm>
                          <a:prstGeom prst="rect">
                            <a:avLst/>
                          </a:prstGeom>
                          <a:noFill/>
                          <a:ln>
                            <a:noFill/>
                          </a:ln>
                        </pic:spPr>
                      </pic:pic>
                    </a:graphicData>
                  </a:graphic>
                </wp:inline>
              </w:drawing>
            </w:r>
          </w:p>
        </w:tc>
        <w:tc>
          <w:tcPr>
            <w:tcW w:w="4157" w:type="dxa"/>
            <w:tcBorders>
              <w:top w:val="single" w:sz="4" w:space="0" w:color="auto"/>
              <w:left w:val="single" w:sz="4" w:space="0" w:color="auto"/>
              <w:bottom w:val="single" w:sz="4" w:space="0" w:color="auto"/>
              <w:right w:val="single" w:sz="4" w:space="0" w:color="auto"/>
            </w:tcBorders>
          </w:tcPr>
          <w:p w14:paraId="1C1B7DAC" w14:textId="77777777" w:rsidR="00755B0B" w:rsidRDefault="00755B0B" w:rsidP="00A63C85">
            <w:pPr>
              <w:spacing w:line="276" w:lineRule="auto"/>
              <w:rPr>
                <w:sz w:val="20"/>
                <w:szCs w:val="20"/>
                <w:lang w:val="en-US"/>
              </w:rPr>
            </w:pPr>
          </w:p>
          <w:p w14:paraId="62CD01A8" w14:textId="38E70B81" w:rsidR="00A63C85" w:rsidRPr="00364B21" w:rsidRDefault="00A63C85" w:rsidP="00A63C85">
            <w:pPr>
              <w:spacing w:line="276" w:lineRule="auto"/>
              <w:rPr>
                <w:sz w:val="20"/>
                <w:szCs w:val="22"/>
                <w:lang w:val="en-US"/>
              </w:rPr>
            </w:pPr>
            <w:r w:rsidRPr="00A63C85">
              <w:rPr>
                <w:sz w:val="20"/>
                <w:lang w:val="en-US"/>
              </w:rPr>
              <w:t xml:space="preserve">Custom versions of the SKE50 plus shaft platforms </w:t>
            </w:r>
            <w:proofErr w:type="gramStart"/>
            <w:r w:rsidRPr="00A63C85">
              <w:rPr>
                <w:sz w:val="20"/>
                <w:lang w:val="en-US"/>
              </w:rPr>
              <w:t>were used</w:t>
            </w:r>
            <w:proofErr w:type="gramEnd"/>
            <w:r w:rsidRPr="00A63C85">
              <w:rPr>
                <w:sz w:val="20"/>
                <w:lang w:val="en-US"/>
              </w:rPr>
              <w:t xml:space="preserve"> to accommodate </w:t>
            </w:r>
            <w:r w:rsidRPr="00A63C85">
              <w:rPr>
                <w:color w:val="auto"/>
                <w:sz w:val="20"/>
                <w:szCs w:val="22"/>
                <w:lang w:val="en-US"/>
              </w:rPr>
              <w:t>the shape of the pylon tower, which tapers gradually towards the top</w:t>
            </w:r>
            <w:r w:rsidRPr="00A63C85">
              <w:rPr>
                <w:sz w:val="20"/>
                <w:lang w:val="en-US"/>
              </w:rPr>
              <w:t xml:space="preserve">. </w:t>
            </w:r>
            <w:r w:rsidRPr="00364B21">
              <w:rPr>
                <w:sz w:val="20"/>
                <w:lang w:val="en-US"/>
              </w:rPr>
              <w:t>Horizontal supporting construction frames kept the work</w:t>
            </w:r>
            <w:r w:rsidR="00694615">
              <w:rPr>
                <w:sz w:val="20"/>
                <w:lang w:val="en-US"/>
              </w:rPr>
              <w:t>ing platform safe and transferred</w:t>
            </w:r>
            <w:bookmarkStart w:id="0" w:name="_GoBack"/>
            <w:bookmarkEnd w:id="0"/>
            <w:r w:rsidRPr="00364B21">
              <w:rPr>
                <w:sz w:val="20"/>
                <w:lang w:val="en-US"/>
              </w:rPr>
              <w:t xml:space="preserve"> concrete loads.</w:t>
            </w:r>
          </w:p>
          <w:p w14:paraId="0490A2A1" w14:textId="7B8A17A6" w:rsidR="001B5C8D" w:rsidRPr="00A63C85" w:rsidRDefault="001B5C8D" w:rsidP="00367C0A">
            <w:pPr>
              <w:spacing w:line="276" w:lineRule="auto"/>
              <w:rPr>
                <w:sz w:val="20"/>
                <w:szCs w:val="20"/>
                <w:lang w:val="en-US"/>
              </w:rPr>
            </w:pPr>
          </w:p>
          <w:p w14:paraId="3BBBA2E0" w14:textId="565BE37F" w:rsidR="001B5C8D" w:rsidRPr="00A63C85" w:rsidRDefault="00A63C85" w:rsidP="00367C0A">
            <w:pPr>
              <w:spacing w:line="276" w:lineRule="auto"/>
              <w:rPr>
                <w:sz w:val="20"/>
                <w:szCs w:val="20"/>
                <w:lang w:val="en-US"/>
              </w:rPr>
            </w:pPr>
            <w:r w:rsidRPr="00A63C85">
              <w:rPr>
                <w:sz w:val="20"/>
                <w:szCs w:val="20"/>
                <w:lang w:val="en-US"/>
              </w:rPr>
              <w:t>Photo</w:t>
            </w:r>
            <w:r w:rsidR="001B5C8D" w:rsidRPr="00A63C85">
              <w:rPr>
                <w:sz w:val="20"/>
                <w:szCs w:val="20"/>
                <w:lang w:val="en-US"/>
              </w:rPr>
              <w:t>: US</w:t>
            </w:r>
            <w:r w:rsidR="00364B21">
              <w:rPr>
                <w:sz w:val="20"/>
                <w:szCs w:val="20"/>
                <w:lang w:val="en-US"/>
              </w:rPr>
              <w:t xml:space="preserve"> </w:t>
            </w:r>
            <w:r w:rsidR="001B5C8D" w:rsidRPr="00A63C85">
              <w:rPr>
                <w:sz w:val="20"/>
                <w:szCs w:val="20"/>
                <w:lang w:val="en-US"/>
              </w:rPr>
              <w:t>181 Harbor Bridge_2.jpg</w:t>
            </w:r>
          </w:p>
          <w:p w14:paraId="077AD2A1" w14:textId="77777777" w:rsidR="00755B0B" w:rsidRDefault="001B5C8D" w:rsidP="00367C0A">
            <w:pPr>
              <w:spacing w:line="276" w:lineRule="auto"/>
              <w:rPr>
                <w:sz w:val="20"/>
                <w:szCs w:val="20"/>
                <w:shd w:val="clear" w:color="auto" w:fill="FFFFFF" w:themeFill="background1"/>
                <w:lang w:val="en-GB"/>
              </w:rPr>
            </w:pPr>
            <w:r w:rsidRPr="00B95EF9">
              <w:rPr>
                <w:sz w:val="20"/>
                <w:szCs w:val="20"/>
                <w:lang w:val="en-US"/>
              </w:rPr>
              <w:t xml:space="preserve">Copyright: </w:t>
            </w:r>
            <w:proofErr w:type="spellStart"/>
            <w:r w:rsidRPr="00B95EF9">
              <w:rPr>
                <w:sz w:val="20"/>
                <w:szCs w:val="20"/>
                <w:shd w:val="clear" w:color="auto" w:fill="FFFFFF" w:themeFill="background1"/>
                <w:lang w:val="en-GB"/>
              </w:rPr>
              <w:t>Doka</w:t>
            </w:r>
            <w:proofErr w:type="spellEnd"/>
          </w:p>
          <w:p w14:paraId="2864418B" w14:textId="180B6051" w:rsidR="00A46933" w:rsidRPr="00755B0B" w:rsidRDefault="00A46933" w:rsidP="00367C0A">
            <w:pPr>
              <w:spacing w:line="276" w:lineRule="auto"/>
              <w:rPr>
                <w:sz w:val="20"/>
                <w:szCs w:val="20"/>
                <w:shd w:val="clear" w:color="auto" w:fill="FFFFFF" w:themeFill="background1"/>
                <w:lang w:val="en-GB"/>
              </w:rPr>
            </w:pPr>
          </w:p>
        </w:tc>
      </w:tr>
      <w:tr w:rsidR="001B5C8D" w:rsidRPr="00302233" w14:paraId="17A0B886" w14:textId="77777777" w:rsidTr="00367C0A">
        <w:trPr>
          <w:trHeight w:val="1503"/>
        </w:trPr>
        <w:tc>
          <w:tcPr>
            <w:tcW w:w="4111" w:type="dxa"/>
            <w:tcBorders>
              <w:top w:val="single" w:sz="4" w:space="0" w:color="auto"/>
              <w:left w:val="single" w:sz="4" w:space="0" w:color="auto"/>
              <w:bottom w:val="single" w:sz="4" w:space="0" w:color="auto"/>
              <w:right w:val="single" w:sz="4" w:space="0" w:color="auto"/>
            </w:tcBorders>
          </w:tcPr>
          <w:p w14:paraId="107FF5F5" w14:textId="77777777" w:rsidR="00A46933" w:rsidRPr="00364B21" w:rsidRDefault="00A46933" w:rsidP="00367C0A">
            <w:pPr>
              <w:spacing w:line="276" w:lineRule="auto"/>
              <w:rPr>
                <w:noProof/>
                <w:sz w:val="16"/>
                <w:szCs w:val="16"/>
                <w:lang w:val="en-US" w:eastAsia="de-DE"/>
              </w:rPr>
            </w:pPr>
          </w:p>
          <w:p w14:paraId="2F373B6B" w14:textId="645E4B69" w:rsidR="001B5C8D" w:rsidRPr="00327674" w:rsidRDefault="001B5C8D" w:rsidP="00367C0A">
            <w:pPr>
              <w:spacing w:line="276" w:lineRule="auto"/>
              <w:rPr>
                <w:noProof/>
                <w:sz w:val="16"/>
                <w:szCs w:val="16"/>
                <w:lang w:val="en-US"/>
              </w:rPr>
            </w:pPr>
            <w:r>
              <w:rPr>
                <w:noProof/>
                <w:sz w:val="16"/>
                <w:szCs w:val="16"/>
                <w:lang w:eastAsia="de-DE"/>
              </w:rPr>
              <w:drawing>
                <wp:inline distT="0" distB="0" distL="0" distR="0" wp14:anchorId="2B914B1D" wp14:editId="7FFB5BCB">
                  <wp:extent cx="2533650" cy="1689100"/>
                  <wp:effectExtent l="0" t="0" r="0" b="0"/>
                  <wp:docPr id="5" name="Grafik 5" descr="US 181 Harbor Bridge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 181 Harbor Bridge_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3650" cy="1689100"/>
                          </a:xfrm>
                          <a:prstGeom prst="rect">
                            <a:avLst/>
                          </a:prstGeom>
                          <a:noFill/>
                          <a:ln>
                            <a:noFill/>
                          </a:ln>
                        </pic:spPr>
                      </pic:pic>
                    </a:graphicData>
                  </a:graphic>
                </wp:inline>
              </w:drawing>
            </w:r>
          </w:p>
        </w:tc>
        <w:tc>
          <w:tcPr>
            <w:tcW w:w="4157" w:type="dxa"/>
            <w:tcBorders>
              <w:top w:val="single" w:sz="4" w:space="0" w:color="auto"/>
              <w:left w:val="single" w:sz="4" w:space="0" w:color="auto"/>
              <w:bottom w:val="single" w:sz="4" w:space="0" w:color="auto"/>
              <w:right w:val="single" w:sz="4" w:space="0" w:color="auto"/>
            </w:tcBorders>
          </w:tcPr>
          <w:p w14:paraId="2954BECB" w14:textId="77777777" w:rsidR="00A46933" w:rsidRDefault="00A46933" w:rsidP="00367C0A">
            <w:pPr>
              <w:spacing w:line="276" w:lineRule="auto"/>
              <w:rPr>
                <w:noProof/>
                <w:sz w:val="16"/>
                <w:szCs w:val="20"/>
                <w:highlight w:val="yellow"/>
                <w:lang w:eastAsia="de-DE"/>
              </w:rPr>
            </w:pPr>
          </w:p>
          <w:p w14:paraId="74EF33BC" w14:textId="0DEF1DBE" w:rsidR="001B5C8D" w:rsidRPr="00C8260A" w:rsidRDefault="001B5C8D" w:rsidP="00367C0A">
            <w:pPr>
              <w:spacing w:line="276" w:lineRule="auto"/>
              <w:rPr>
                <w:sz w:val="20"/>
                <w:szCs w:val="20"/>
                <w:highlight w:val="yellow"/>
                <w:lang w:val="en-US"/>
              </w:rPr>
            </w:pPr>
            <w:r>
              <w:rPr>
                <w:noProof/>
                <w:sz w:val="16"/>
                <w:szCs w:val="20"/>
                <w:highlight w:val="yellow"/>
                <w:lang w:eastAsia="de-DE"/>
              </w:rPr>
              <w:drawing>
                <wp:inline distT="0" distB="0" distL="0" distR="0" wp14:anchorId="68FD66CA" wp14:editId="5C5D50E3">
                  <wp:extent cx="2501900" cy="1689100"/>
                  <wp:effectExtent l="0" t="0" r="0" b="0"/>
                  <wp:docPr id="4" name="Grafik 4" descr="US 181 Harbor Bridg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 181 Harbor Bridge_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1900" cy="1689100"/>
                          </a:xfrm>
                          <a:prstGeom prst="rect">
                            <a:avLst/>
                          </a:prstGeom>
                          <a:noFill/>
                          <a:ln>
                            <a:noFill/>
                          </a:ln>
                        </pic:spPr>
                      </pic:pic>
                    </a:graphicData>
                  </a:graphic>
                </wp:inline>
              </w:drawing>
            </w:r>
          </w:p>
        </w:tc>
      </w:tr>
      <w:tr w:rsidR="001B5C8D" w:rsidRPr="00302233" w14:paraId="15175FE9" w14:textId="77777777" w:rsidTr="00367C0A">
        <w:trPr>
          <w:trHeight w:val="1503"/>
        </w:trPr>
        <w:tc>
          <w:tcPr>
            <w:tcW w:w="8268" w:type="dxa"/>
            <w:gridSpan w:val="2"/>
            <w:tcBorders>
              <w:top w:val="single" w:sz="4" w:space="0" w:color="auto"/>
              <w:left w:val="single" w:sz="4" w:space="0" w:color="auto"/>
              <w:bottom w:val="single" w:sz="4" w:space="0" w:color="auto"/>
              <w:right w:val="single" w:sz="4" w:space="0" w:color="auto"/>
            </w:tcBorders>
          </w:tcPr>
          <w:p w14:paraId="0BD39EA9" w14:textId="77777777" w:rsidR="001B5C8D" w:rsidRDefault="001B5C8D" w:rsidP="00367C0A">
            <w:pPr>
              <w:spacing w:line="276" w:lineRule="auto"/>
              <w:rPr>
                <w:sz w:val="20"/>
                <w:szCs w:val="20"/>
              </w:rPr>
            </w:pPr>
          </w:p>
          <w:p w14:paraId="4736B189" w14:textId="40D09398" w:rsidR="00A63C85" w:rsidRPr="00A63C85" w:rsidRDefault="00A63C85" w:rsidP="00A63C85">
            <w:pPr>
              <w:spacing w:line="276" w:lineRule="auto"/>
              <w:rPr>
                <w:sz w:val="20"/>
                <w:szCs w:val="22"/>
                <w:lang w:val="en-US"/>
              </w:rPr>
            </w:pPr>
            <w:r w:rsidRPr="00A63C85">
              <w:rPr>
                <w:sz w:val="20"/>
                <w:lang w:val="en-US"/>
              </w:rPr>
              <w:t xml:space="preserve">The two pylons are 164 </w:t>
            </w:r>
            <w:proofErr w:type="spellStart"/>
            <w:r w:rsidRPr="00A63C85">
              <w:rPr>
                <w:sz w:val="20"/>
                <w:lang w:val="en-US"/>
              </w:rPr>
              <w:t>metres</w:t>
            </w:r>
            <w:proofErr w:type="spellEnd"/>
            <w:r w:rsidRPr="00A63C85">
              <w:rPr>
                <w:sz w:val="20"/>
                <w:lang w:val="en-US"/>
              </w:rPr>
              <w:t xml:space="preserve"> high, comprising the A-shaped pylon legs and the pylon tower above.</w:t>
            </w:r>
          </w:p>
          <w:p w14:paraId="507A72CA" w14:textId="5D42CA9B" w:rsidR="001B5C8D" w:rsidRPr="00A63C85" w:rsidRDefault="001B5C8D" w:rsidP="00367C0A">
            <w:pPr>
              <w:spacing w:line="276" w:lineRule="auto"/>
              <w:rPr>
                <w:sz w:val="20"/>
                <w:szCs w:val="20"/>
                <w:lang w:val="en-GB"/>
              </w:rPr>
            </w:pPr>
          </w:p>
          <w:p w14:paraId="04928E79" w14:textId="77777777" w:rsidR="001B5C8D" w:rsidRPr="00A63C85" w:rsidRDefault="001B5C8D" w:rsidP="00367C0A">
            <w:pPr>
              <w:spacing w:line="276" w:lineRule="auto"/>
              <w:rPr>
                <w:sz w:val="20"/>
                <w:szCs w:val="20"/>
                <w:lang w:val="en-US"/>
              </w:rPr>
            </w:pPr>
          </w:p>
          <w:p w14:paraId="05705854" w14:textId="31AA2ED9" w:rsidR="001B5C8D" w:rsidRPr="003E6636" w:rsidRDefault="00A63C85" w:rsidP="00367C0A">
            <w:pPr>
              <w:spacing w:line="276" w:lineRule="auto"/>
              <w:rPr>
                <w:sz w:val="20"/>
                <w:szCs w:val="20"/>
                <w:lang w:val="en-US"/>
              </w:rPr>
            </w:pPr>
            <w:r>
              <w:rPr>
                <w:sz w:val="20"/>
                <w:szCs w:val="20"/>
                <w:lang w:val="en-US"/>
              </w:rPr>
              <w:t>Photo</w:t>
            </w:r>
            <w:r w:rsidR="001B5C8D" w:rsidRPr="003E6636">
              <w:rPr>
                <w:sz w:val="20"/>
                <w:szCs w:val="20"/>
                <w:lang w:val="en-US"/>
              </w:rPr>
              <w:t xml:space="preserve">: </w:t>
            </w:r>
            <w:r w:rsidR="001B5C8D">
              <w:rPr>
                <w:sz w:val="20"/>
                <w:szCs w:val="20"/>
                <w:lang w:val="en-US"/>
              </w:rPr>
              <w:t>US</w:t>
            </w:r>
            <w:r w:rsidR="00364B21">
              <w:rPr>
                <w:sz w:val="20"/>
                <w:szCs w:val="20"/>
                <w:lang w:val="en-US"/>
              </w:rPr>
              <w:t xml:space="preserve"> </w:t>
            </w:r>
            <w:r w:rsidR="001B5C8D">
              <w:rPr>
                <w:sz w:val="20"/>
                <w:szCs w:val="20"/>
                <w:lang w:val="en-US"/>
              </w:rPr>
              <w:t>181 Harbor Bridge_3</w:t>
            </w:r>
            <w:r w:rsidR="001B5C8D" w:rsidRPr="003E6636">
              <w:rPr>
                <w:sz w:val="20"/>
                <w:szCs w:val="20"/>
                <w:lang w:val="en-US"/>
              </w:rPr>
              <w:t>.jpg</w:t>
            </w:r>
            <w:r w:rsidR="001B5C8D">
              <w:rPr>
                <w:sz w:val="20"/>
                <w:szCs w:val="20"/>
                <w:lang w:val="en-US"/>
              </w:rPr>
              <w:t>, US</w:t>
            </w:r>
            <w:r w:rsidR="00364B21">
              <w:rPr>
                <w:sz w:val="20"/>
                <w:szCs w:val="20"/>
                <w:lang w:val="en-US"/>
              </w:rPr>
              <w:t xml:space="preserve"> </w:t>
            </w:r>
            <w:r w:rsidR="001B5C8D">
              <w:rPr>
                <w:sz w:val="20"/>
                <w:szCs w:val="20"/>
                <w:lang w:val="en-US"/>
              </w:rPr>
              <w:t>181 Harbor Bridge_4</w:t>
            </w:r>
            <w:r w:rsidR="001B5C8D" w:rsidRPr="003E6636">
              <w:rPr>
                <w:sz w:val="20"/>
                <w:szCs w:val="20"/>
                <w:lang w:val="en-US"/>
              </w:rPr>
              <w:t>.jpg</w:t>
            </w:r>
          </w:p>
          <w:p w14:paraId="721DD4E5" w14:textId="77777777" w:rsidR="001B5C8D" w:rsidRDefault="001B5C8D" w:rsidP="00367C0A">
            <w:pPr>
              <w:spacing w:line="276" w:lineRule="auto"/>
              <w:rPr>
                <w:sz w:val="20"/>
                <w:szCs w:val="20"/>
                <w:shd w:val="clear" w:color="auto" w:fill="FFFFFF" w:themeFill="background1"/>
                <w:lang w:val="en-GB"/>
              </w:rPr>
            </w:pPr>
            <w:r w:rsidRPr="003E6636">
              <w:rPr>
                <w:sz w:val="20"/>
                <w:szCs w:val="20"/>
                <w:shd w:val="clear" w:color="auto" w:fill="FFFFFF" w:themeFill="background1"/>
                <w:lang w:val="en-US"/>
              </w:rPr>
              <w:t xml:space="preserve">Copyright: </w:t>
            </w:r>
            <w:proofErr w:type="spellStart"/>
            <w:r>
              <w:rPr>
                <w:sz w:val="20"/>
                <w:szCs w:val="20"/>
                <w:shd w:val="clear" w:color="auto" w:fill="FFFFFF" w:themeFill="background1"/>
                <w:lang w:val="en-GB"/>
              </w:rPr>
              <w:t>Doka</w:t>
            </w:r>
            <w:proofErr w:type="spellEnd"/>
          </w:p>
          <w:p w14:paraId="41F953F9" w14:textId="449A64E7" w:rsidR="0017196B" w:rsidRPr="00C8260A" w:rsidRDefault="0017196B" w:rsidP="00367C0A">
            <w:pPr>
              <w:spacing w:line="276" w:lineRule="auto"/>
              <w:rPr>
                <w:sz w:val="20"/>
                <w:szCs w:val="20"/>
                <w:highlight w:val="yellow"/>
                <w:lang w:val="en-US"/>
              </w:rPr>
            </w:pPr>
          </w:p>
        </w:tc>
      </w:tr>
    </w:tbl>
    <w:p w14:paraId="3EB8AB09" w14:textId="2ED0A408" w:rsidR="00193381" w:rsidRDefault="00193381" w:rsidP="001B5C8D">
      <w:pPr>
        <w:rPr>
          <w:rFonts w:cs="Arial"/>
          <w:sz w:val="20"/>
          <w:szCs w:val="20"/>
          <w:lang w:val="de-AT"/>
        </w:rPr>
      </w:pPr>
    </w:p>
    <w:p w14:paraId="1602173D" w14:textId="77777777" w:rsidR="00193381" w:rsidRPr="00193381" w:rsidRDefault="00193381" w:rsidP="00193381">
      <w:pPr>
        <w:rPr>
          <w:b/>
          <w:sz w:val="20"/>
          <w:szCs w:val="20"/>
          <w:lang w:val="en-US"/>
        </w:rPr>
      </w:pPr>
      <w:r w:rsidRPr="00193381">
        <w:rPr>
          <w:b/>
          <w:sz w:val="20"/>
          <w:szCs w:val="20"/>
          <w:lang w:val="en-US"/>
        </w:rPr>
        <w:t xml:space="preserve">About </w:t>
      </w:r>
      <w:proofErr w:type="spellStart"/>
      <w:r w:rsidRPr="00193381">
        <w:rPr>
          <w:b/>
          <w:sz w:val="20"/>
          <w:szCs w:val="20"/>
          <w:lang w:val="en-US"/>
        </w:rPr>
        <w:t>Doka</w:t>
      </w:r>
      <w:proofErr w:type="spellEnd"/>
      <w:r w:rsidRPr="00193381">
        <w:rPr>
          <w:b/>
          <w:sz w:val="20"/>
          <w:szCs w:val="20"/>
          <w:lang w:val="en-US"/>
        </w:rPr>
        <w:t>:</w:t>
      </w:r>
    </w:p>
    <w:p w14:paraId="36174EB3" w14:textId="3A1EB9C7" w:rsidR="001B5C8D" w:rsidRDefault="00193381" w:rsidP="00193381">
      <w:pPr>
        <w:rPr>
          <w:rFonts w:cs="Arial"/>
          <w:sz w:val="20"/>
          <w:szCs w:val="20"/>
          <w:lang w:val="en-US"/>
        </w:rPr>
      </w:pPr>
      <w:proofErr w:type="spellStart"/>
      <w:r w:rsidRPr="00193381">
        <w:rPr>
          <w:sz w:val="20"/>
          <w:szCs w:val="20"/>
          <w:lang w:val="en-US"/>
        </w:rPr>
        <w:t>Doka</w:t>
      </w:r>
      <w:proofErr w:type="spellEnd"/>
      <w:r w:rsidRPr="00193381">
        <w:rPr>
          <w:sz w:val="20"/>
          <w:szCs w:val="20"/>
          <w:lang w:val="en-US"/>
        </w:rPr>
        <w:t xml:space="preserve"> is a world leader in developing, manufacturing and distributing formwork technology for use in all fields of the construction sector. With more than 160 sales and logistics facilities in over 70 countries, </w:t>
      </w:r>
      <w:proofErr w:type="spellStart"/>
      <w:r w:rsidRPr="00193381">
        <w:rPr>
          <w:sz w:val="20"/>
          <w:szCs w:val="20"/>
          <w:lang w:val="en-US"/>
        </w:rPr>
        <w:t>Doka</w:t>
      </w:r>
      <w:proofErr w:type="spellEnd"/>
      <w:r w:rsidRPr="00193381">
        <w:rPr>
          <w:sz w:val="20"/>
          <w:szCs w:val="20"/>
          <w:lang w:val="en-US"/>
        </w:rPr>
        <w:t xml:space="preserve"> has a high-performing distribution </w:t>
      </w:r>
      <w:proofErr w:type="gramStart"/>
      <w:r w:rsidRPr="00193381">
        <w:rPr>
          <w:sz w:val="20"/>
          <w:szCs w:val="20"/>
          <w:lang w:val="en-US"/>
        </w:rPr>
        <w:t>network which</w:t>
      </w:r>
      <w:proofErr w:type="gramEnd"/>
      <w:r w:rsidRPr="00193381">
        <w:rPr>
          <w:sz w:val="20"/>
          <w:szCs w:val="20"/>
          <w:lang w:val="en-US"/>
        </w:rPr>
        <w:t xml:space="preserve"> ensures that equipment and technical support are provided swiftly and professionally. An enterprise forming part of the </w:t>
      </w:r>
      <w:proofErr w:type="spellStart"/>
      <w:r w:rsidRPr="00193381">
        <w:rPr>
          <w:sz w:val="20"/>
          <w:szCs w:val="20"/>
          <w:lang w:val="en-US"/>
        </w:rPr>
        <w:t>Umdasch</w:t>
      </w:r>
      <w:proofErr w:type="spellEnd"/>
      <w:r w:rsidRPr="00193381">
        <w:rPr>
          <w:sz w:val="20"/>
          <w:szCs w:val="20"/>
          <w:lang w:val="en-US"/>
        </w:rPr>
        <w:t xml:space="preserve"> Group, </w:t>
      </w:r>
      <w:proofErr w:type="spellStart"/>
      <w:r w:rsidRPr="00193381">
        <w:rPr>
          <w:sz w:val="20"/>
          <w:szCs w:val="20"/>
          <w:lang w:val="en-US"/>
        </w:rPr>
        <w:t>Doka</w:t>
      </w:r>
      <w:proofErr w:type="spellEnd"/>
      <w:r w:rsidRPr="00193381">
        <w:rPr>
          <w:sz w:val="20"/>
          <w:szCs w:val="20"/>
          <w:lang w:val="en-US"/>
        </w:rPr>
        <w:t xml:space="preserve"> employs a worldwide workforce of 7,400.</w:t>
      </w:r>
    </w:p>
    <w:p w14:paraId="47C9DF1C" w14:textId="77777777" w:rsidR="00193381" w:rsidRPr="00193381" w:rsidRDefault="00193381" w:rsidP="00193381">
      <w:pPr>
        <w:rPr>
          <w:rFonts w:cs="Arial"/>
          <w:sz w:val="20"/>
          <w:szCs w:val="20"/>
          <w:lang w:val="en-US"/>
        </w:rPr>
      </w:pPr>
    </w:p>
    <w:p w14:paraId="00AEFEF1" w14:textId="2EA9EE68" w:rsidR="00193381" w:rsidRPr="00364B21" w:rsidRDefault="00193381" w:rsidP="00193381">
      <w:pPr>
        <w:tabs>
          <w:tab w:val="left" w:pos="2835"/>
        </w:tabs>
        <w:spacing w:line="264" w:lineRule="auto"/>
        <w:rPr>
          <w:rFonts w:cs="Arial"/>
          <w:sz w:val="20"/>
          <w:szCs w:val="22"/>
          <w:lang w:val="en-US"/>
        </w:rPr>
      </w:pPr>
      <w:r w:rsidRPr="00364B21">
        <w:rPr>
          <w:b/>
          <w:sz w:val="20"/>
          <w:szCs w:val="20"/>
          <w:lang w:val="en-US"/>
        </w:rPr>
        <w:t>Press contact</w:t>
      </w:r>
    </w:p>
    <w:p w14:paraId="3A7216CA" w14:textId="482BD8E2" w:rsidR="001B5C8D" w:rsidRPr="00364B21" w:rsidRDefault="001B5C8D" w:rsidP="001B5C8D">
      <w:pPr>
        <w:rPr>
          <w:rFonts w:cs="Arial"/>
          <w:b/>
          <w:sz w:val="20"/>
          <w:szCs w:val="20"/>
          <w:lang w:val="en-US"/>
        </w:rPr>
      </w:pPr>
      <w:proofErr w:type="spellStart"/>
      <w:r w:rsidRPr="00364B21">
        <w:rPr>
          <w:rFonts w:cs="Arial"/>
          <w:b/>
          <w:sz w:val="20"/>
          <w:szCs w:val="20"/>
          <w:lang w:val="en-US"/>
        </w:rPr>
        <w:t>Doka</w:t>
      </w:r>
      <w:proofErr w:type="spellEnd"/>
    </w:p>
    <w:p w14:paraId="45E104A5" w14:textId="77777777" w:rsidR="001B5C8D" w:rsidRPr="00364B21" w:rsidRDefault="001B5C8D" w:rsidP="001B5C8D">
      <w:pPr>
        <w:rPr>
          <w:rFonts w:cs="Arial"/>
          <w:bCs/>
          <w:sz w:val="20"/>
          <w:szCs w:val="20"/>
          <w:lang w:val="en-US"/>
        </w:rPr>
      </w:pPr>
      <w:r w:rsidRPr="00364B21">
        <w:rPr>
          <w:rFonts w:cs="Arial"/>
          <w:bCs/>
          <w:sz w:val="20"/>
          <w:szCs w:val="20"/>
          <w:lang w:val="en-US"/>
        </w:rPr>
        <w:t>Michael Fuker</w:t>
      </w:r>
    </w:p>
    <w:p w14:paraId="647C0FCC" w14:textId="77777777" w:rsidR="001B5C8D" w:rsidRPr="00364B21" w:rsidRDefault="001B5C8D" w:rsidP="001B5C8D">
      <w:pPr>
        <w:rPr>
          <w:rFonts w:cs="Arial"/>
          <w:sz w:val="20"/>
          <w:szCs w:val="20"/>
          <w:lang w:val="en-US"/>
        </w:rPr>
      </w:pPr>
      <w:r w:rsidRPr="00364B21">
        <w:rPr>
          <w:rFonts w:cs="Arial"/>
          <w:sz w:val="20"/>
          <w:szCs w:val="20"/>
          <w:lang w:val="en-US"/>
        </w:rPr>
        <w:t>Public Relations Manager</w:t>
      </w:r>
    </w:p>
    <w:p w14:paraId="0676E77E" w14:textId="77777777" w:rsidR="001B5C8D" w:rsidRPr="00D64C21" w:rsidRDefault="001B5C8D" w:rsidP="001B5C8D">
      <w:pPr>
        <w:rPr>
          <w:rFonts w:cs="Arial"/>
          <w:b/>
          <w:bCs/>
          <w:sz w:val="20"/>
          <w:szCs w:val="20"/>
          <w:lang w:val="en-US"/>
        </w:rPr>
      </w:pPr>
      <w:r w:rsidRPr="00D64C21">
        <w:rPr>
          <w:rFonts w:cs="Arial"/>
          <w:b/>
          <w:bCs/>
          <w:sz w:val="20"/>
          <w:szCs w:val="20"/>
          <w:lang w:val="en-US"/>
        </w:rPr>
        <w:t>M</w:t>
      </w:r>
      <w:r w:rsidRPr="00D64C21">
        <w:rPr>
          <w:rFonts w:eastAsiaTheme="minorHAnsi" w:cs="Arial"/>
          <w:b/>
          <w:bCs/>
          <w:color w:val="1F497D"/>
          <w:sz w:val="20"/>
          <w:szCs w:val="20"/>
          <w:lang w:val="en-US"/>
        </w:rPr>
        <w:t xml:space="preserve"> </w:t>
      </w:r>
      <w:r w:rsidRPr="00D64C21">
        <w:rPr>
          <w:rFonts w:cs="Arial"/>
          <w:bCs/>
          <w:sz w:val="20"/>
          <w:szCs w:val="20"/>
          <w:lang w:val="en-US"/>
        </w:rPr>
        <w:t>+43/664/9610657</w:t>
      </w:r>
    </w:p>
    <w:p w14:paraId="1A9B9335" w14:textId="77777777" w:rsidR="001B5C8D" w:rsidRPr="00D64C21" w:rsidRDefault="00694615" w:rsidP="001B5C8D">
      <w:pPr>
        <w:rPr>
          <w:rFonts w:cs="Arial"/>
          <w:sz w:val="20"/>
          <w:szCs w:val="20"/>
          <w:lang w:val="en-US"/>
        </w:rPr>
      </w:pPr>
      <w:hyperlink r:id="rId12" w:history="1">
        <w:r w:rsidR="001B5C8D" w:rsidRPr="00D64C21">
          <w:rPr>
            <w:rStyle w:val="Hyperlink"/>
            <w:sz w:val="20"/>
            <w:szCs w:val="20"/>
            <w:lang w:val="en-US"/>
          </w:rPr>
          <w:t>press@doka.com</w:t>
        </w:r>
      </w:hyperlink>
    </w:p>
    <w:p w14:paraId="5D6B2833" w14:textId="77777777" w:rsidR="001B5C8D" w:rsidRPr="00DC1C76" w:rsidRDefault="001B5C8D" w:rsidP="001B5C8D">
      <w:pPr>
        <w:autoSpaceDE w:val="0"/>
        <w:autoSpaceDN w:val="0"/>
        <w:adjustRightInd w:val="0"/>
        <w:rPr>
          <w:rFonts w:ascii="Segoe UI" w:hAnsi="Segoe UI" w:cs="Segoe UI"/>
          <w:sz w:val="20"/>
          <w:szCs w:val="20"/>
          <w:lang w:eastAsia="de-DE"/>
        </w:rPr>
      </w:pPr>
    </w:p>
    <w:p w14:paraId="72F22575" w14:textId="77777777" w:rsidR="0088590F" w:rsidRPr="002C3B72" w:rsidRDefault="0088590F" w:rsidP="002C3B72"/>
    <w:sectPr w:rsidR="0088590F" w:rsidRPr="002C3B72"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FBD9D" w14:textId="77777777" w:rsidR="00F200EB" w:rsidRDefault="00F200EB">
      <w:r>
        <w:separator/>
      </w:r>
    </w:p>
  </w:endnote>
  <w:endnote w:type="continuationSeparator" w:id="0">
    <w:p w14:paraId="47D485CB" w14:textId="77777777" w:rsidR="00F200EB" w:rsidRDefault="00F20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70BFE" w14:textId="77777777" w:rsidR="00F200EB" w:rsidRDefault="00F200EB">
      <w:r>
        <w:separator/>
      </w:r>
    </w:p>
  </w:footnote>
  <w:footnote w:type="continuationSeparator" w:id="0">
    <w:p w14:paraId="28CFD3B2" w14:textId="77777777" w:rsidR="00F200EB" w:rsidRDefault="00F20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8CBDC" w14:textId="6C4A8235" w:rsidR="00A2161C" w:rsidRDefault="001B5C8D"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14:anchorId="3303EB2B" wp14:editId="3861A25E">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043B38">
      <w:rPr>
        <w:b/>
        <w:noProof/>
        <w:lang w:eastAsia="de-DE"/>
      </w:rPr>
      <w:t>Press release</w:t>
    </w:r>
    <w:r w:rsidR="00634064">
      <w:t xml:space="preserve"> / August</w:t>
    </w:r>
    <w:r>
      <w:t xml:space="preserve"> 2020</w:t>
    </w:r>
  </w:p>
  <w:p w14:paraId="52B188BE" w14:textId="77777777" w:rsidR="00A2161C" w:rsidRDefault="00694615" w:rsidP="008F2ADD">
    <w:pPr>
      <w:pStyle w:val="Kopfzeile"/>
    </w:pPr>
  </w:p>
  <w:p w14:paraId="7FD7C859" w14:textId="77777777" w:rsidR="00A2161C" w:rsidRPr="00E43CB4" w:rsidRDefault="00694615" w:rsidP="008F2ADD">
    <w:pPr>
      <w:pStyle w:val="Kopfzeile"/>
      <w:jc w:val="right"/>
    </w:pPr>
  </w:p>
  <w:p w14:paraId="142DEAAE" w14:textId="77777777" w:rsidR="00A2161C" w:rsidRDefault="00694615" w:rsidP="008F2ADD">
    <w:pPr>
      <w:pStyle w:val="Kopfzeile"/>
      <w:jc w:val="right"/>
    </w:pPr>
  </w:p>
  <w:p w14:paraId="4090E1DD" w14:textId="77777777" w:rsidR="00A2161C" w:rsidRDefault="006946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5EF0563D"/>
    <w:multiLevelType w:val="hybridMultilevel"/>
    <w:tmpl w:val="33C0A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2"/>
  </w:num>
  <w:num w:numId="12">
    <w:abstractNumId w:val="15"/>
  </w:num>
  <w:num w:numId="13">
    <w:abstractNumId w:val="0"/>
  </w:num>
  <w:num w:numId="14">
    <w:abstractNumId w:val="30"/>
  </w:num>
  <w:num w:numId="15">
    <w:abstractNumId w:val="27"/>
  </w:num>
  <w:num w:numId="16">
    <w:abstractNumId w:val="17"/>
  </w:num>
  <w:num w:numId="17">
    <w:abstractNumId w:val="2"/>
  </w:num>
  <w:num w:numId="18">
    <w:abstractNumId w:val="26"/>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8"/>
  </w:num>
  <w:num w:numId="28">
    <w:abstractNumId w:val="29"/>
  </w:num>
  <w:num w:numId="29">
    <w:abstractNumId w:val="16"/>
  </w:num>
  <w:num w:numId="30">
    <w:abstractNumId w:val="13"/>
  </w:num>
  <w:num w:numId="31">
    <w:abstractNumId w:val="23"/>
  </w:num>
  <w:num w:numId="32">
    <w:abstractNumId w:val="4"/>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CxNDY3MjcysTQ1sDBU0lEKTi0uzszPAykwqQUA86VVvCwAAAA="/>
  </w:docVars>
  <w:rsids>
    <w:rsidRoot w:val="0059509C"/>
    <w:rsid w:val="00005BA4"/>
    <w:rsid w:val="0001239A"/>
    <w:rsid w:val="00015F66"/>
    <w:rsid w:val="00016591"/>
    <w:rsid w:val="000218E9"/>
    <w:rsid w:val="000251EE"/>
    <w:rsid w:val="00030363"/>
    <w:rsid w:val="00033985"/>
    <w:rsid w:val="00036708"/>
    <w:rsid w:val="00041FA1"/>
    <w:rsid w:val="00043B38"/>
    <w:rsid w:val="000457D7"/>
    <w:rsid w:val="000604BB"/>
    <w:rsid w:val="0006146F"/>
    <w:rsid w:val="00066095"/>
    <w:rsid w:val="00070B96"/>
    <w:rsid w:val="00072B49"/>
    <w:rsid w:val="00073AC8"/>
    <w:rsid w:val="00076DB5"/>
    <w:rsid w:val="000773D4"/>
    <w:rsid w:val="000931C4"/>
    <w:rsid w:val="000A0AE6"/>
    <w:rsid w:val="000A374A"/>
    <w:rsid w:val="000A4782"/>
    <w:rsid w:val="000A6BF4"/>
    <w:rsid w:val="000B7ED1"/>
    <w:rsid w:val="000C09CF"/>
    <w:rsid w:val="000C0E0C"/>
    <w:rsid w:val="000D0CDF"/>
    <w:rsid w:val="000D1E26"/>
    <w:rsid w:val="000D3FE3"/>
    <w:rsid w:val="000E7E67"/>
    <w:rsid w:val="000F0A26"/>
    <w:rsid w:val="000F27D8"/>
    <w:rsid w:val="000F2860"/>
    <w:rsid w:val="000F4755"/>
    <w:rsid w:val="000F6CA7"/>
    <w:rsid w:val="00101154"/>
    <w:rsid w:val="00103109"/>
    <w:rsid w:val="00106925"/>
    <w:rsid w:val="0011695C"/>
    <w:rsid w:val="00121825"/>
    <w:rsid w:val="00124E84"/>
    <w:rsid w:val="00127619"/>
    <w:rsid w:val="001305CE"/>
    <w:rsid w:val="001377E1"/>
    <w:rsid w:val="00141D03"/>
    <w:rsid w:val="00145700"/>
    <w:rsid w:val="0015009A"/>
    <w:rsid w:val="00150745"/>
    <w:rsid w:val="00151116"/>
    <w:rsid w:val="001529C9"/>
    <w:rsid w:val="001532FF"/>
    <w:rsid w:val="001550EB"/>
    <w:rsid w:val="001604FC"/>
    <w:rsid w:val="00161368"/>
    <w:rsid w:val="001629CD"/>
    <w:rsid w:val="0017196B"/>
    <w:rsid w:val="00191504"/>
    <w:rsid w:val="00191F1C"/>
    <w:rsid w:val="00192844"/>
    <w:rsid w:val="00193381"/>
    <w:rsid w:val="0019341F"/>
    <w:rsid w:val="001A3C69"/>
    <w:rsid w:val="001A5CCD"/>
    <w:rsid w:val="001B24D6"/>
    <w:rsid w:val="001B5C8D"/>
    <w:rsid w:val="001B66E8"/>
    <w:rsid w:val="001C2B26"/>
    <w:rsid w:val="001C67C2"/>
    <w:rsid w:val="001D06B2"/>
    <w:rsid w:val="001D775D"/>
    <w:rsid w:val="001E625B"/>
    <w:rsid w:val="001F0607"/>
    <w:rsid w:val="001F4501"/>
    <w:rsid w:val="0020125E"/>
    <w:rsid w:val="00203321"/>
    <w:rsid w:val="002046D6"/>
    <w:rsid w:val="00206107"/>
    <w:rsid w:val="00212D77"/>
    <w:rsid w:val="00217920"/>
    <w:rsid w:val="00220DB8"/>
    <w:rsid w:val="0022681D"/>
    <w:rsid w:val="0023241C"/>
    <w:rsid w:val="002349EA"/>
    <w:rsid w:val="0023628D"/>
    <w:rsid w:val="0024357E"/>
    <w:rsid w:val="00244673"/>
    <w:rsid w:val="002518A2"/>
    <w:rsid w:val="00255FAB"/>
    <w:rsid w:val="00270768"/>
    <w:rsid w:val="00273089"/>
    <w:rsid w:val="0028229F"/>
    <w:rsid w:val="002878DF"/>
    <w:rsid w:val="00292225"/>
    <w:rsid w:val="00292958"/>
    <w:rsid w:val="002955F7"/>
    <w:rsid w:val="002A0E48"/>
    <w:rsid w:val="002A560B"/>
    <w:rsid w:val="002A5D7D"/>
    <w:rsid w:val="002A6293"/>
    <w:rsid w:val="002A6736"/>
    <w:rsid w:val="002B7048"/>
    <w:rsid w:val="002B77BD"/>
    <w:rsid w:val="002C0C9D"/>
    <w:rsid w:val="002C3B72"/>
    <w:rsid w:val="002C4E8E"/>
    <w:rsid w:val="002C79F1"/>
    <w:rsid w:val="002D1770"/>
    <w:rsid w:val="002D1CC4"/>
    <w:rsid w:val="002F0538"/>
    <w:rsid w:val="002F2EF8"/>
    <w:rsid w:val="002F6989"/>
    <w:rsid w:val="0030061E"/>
    <w:rsid w:val="00305F5A"/>
    <w:rsid w:val="00316391"/>
    <w:rsid w:val="003254C3"/>
    <w:rsid w:val="00325611"/>
    <w:rsid w:val="00357466"/>
    <w:rsid w:val="0035798B"/>
    <w:rsid w:val="00364B21"/>
    <w:rsid w:val="00371B67"/>
    <w:rsid w:val="00375913"/>
    <w:rsid w:val="003764D7"/>
    <w:rsid w:val="003771A7"/>
    <w:rsid w:val="00380A98"/>
    <w:rsid w:val="00383394"/>
    <w:rsid w:val="00386AD2"/>
    <w:rsid w:val="00391004"/>
    <w:rsid w:val="00391663"/>
    <w:rsid w:val="00393CDB"/>
    <w:rsid w:val="00397874"/>
    <w:rsid w:val="003A5B0C"/>
    <w:rsid w:val="003A79FC"/>
    <w:rsid w:val="003B3FCB"/>
    <w:rsid w:val="003C6D30"/>
    <w:rsid w:val="003E1B7C"/>
    <w:rsid w:val="003E4C7C"/>
    <w:rsid w:val="003E679B"/>
    <w:rsid w:val="003F1085"/>
    <w:rsid w:val="003F2D41"/>
    <w:rsid w:val="003F5A00"/>
    <w:rsid w:val="00410041"/>
    <w:rsid w:val="00413F62"/>
    <w:rsid w:val="00414531"/>
    <w:rsid w:val="004165BC"/>
    <w:rsid w:val="004235FA"/>
    <w:rsid w:val="00424EB9"/>
    <w:rsid w:val="004270A9"/>
    <w:rsid w:val="004361E6"/>
    <w:rsid w:val="00455EFF"/>
    <w:rsid w:val="00463017"/>
    <w:rsid w:val="004639B7"/>
    <w:rsid w:val="00463CD4"/>
    <w:rsid w:val="0046614D"/>
    <w:rsid w:val="00474177"/>
    <w:rsid w:val="004758D0"/>
    <w:rsid w:val="0048426A"/>
    <w:rsid w:val="00492117"/>
    <w:rsid w:val="00494C1E"/>
    <w:rsid w:val="004A0EF2"/>
    <w:rsid w:val="004A11B0"/>
    <w:rsid w:val="004B0024"/>
    <w:rsid w:val="004B6E86"/>
    <w:rsid w:val="004C4B7F"/>
    <w:rsid w:val="004C63F7"/>
    <w:rsid w:val="004C64CF"/>
    <w:rsid w:val="004C6A9A"/>
    <w:rsid w:val="004D14BB"/>
    <w:rsid w:val="004E01A8"/>
    <w:rsid w:val="004E5EFD"/>
    <w:rsid w:val="004F0C47"/>
    <w:rsid w:val="00510478"/>
    <w:rsid w:val="00514C50"/>
    <w:rsid w:val="005151C6"/>
    <w:rsid w:val="0051534D"/>
    <w:rsid w:val="00522770"/>
    <w:rsid w:val="005257A0"/>
    <w:rsid w:val="00531302"/>
    <w:rsid w:val="0053252A"/>
    <w:rsid w:val="00533B9D"/>
    <w:rsid w:val="00541415"/>
    <w:rsid w:val="005428D8"/>
    <w:rsid w:val="00564AF1"/>
    <w:rsid w:val="00573B23"/>
    <w:rsid w:val="00594A33"/>
    <w:rsid w:val="0059509C"/>
    <w:rsid w:val="005965EE"/>
    <w:rsid w:val="005C05EF"/>
    <w:rsid w:val="005C4ED3"/>
    <w:rsid w:val="005C526B"/>
    <w:rsid w:val="005D56FD"/>
    <w:rsid w:val="005D590E"/>
    <w:rsid w:val="005F4E67"/>
    <w:rsid w:val="00605ED4"/>
    <w:rsid w:val="006174CA"/>
    <w:rsid w:val="0062235D"/>
    <w:rsid w:val="0062650A"/>
    <w:rsid w:val="00626A22"/>
    <w:rsid w:val="00634064"/>
    <w:rsid w:val="00641955"/>
    <w:rsid w:val="006459F5"/>
    <w:rsid w:val="006542E6"/>
    <w:rsid w:val="006568C4"/>
    <w:rsid w:val="00673A41"/>
    <w:rsid w:val="006748FC"/>
    <w:rsid w:val="00676BB2"/>
    <w:rsid w:val="00694615"/>
    <w:rsid w:val="006A4302"/>
    <w:rsid w:val="006A5CA8"/>
    <w:rsid w:val="006B44CA"/>
    <w:rsid w:val="006B6F45"/>
    <w:rsid w:val="006C0CAA"/>
    <w:rsid w:val="006C3147"/>
    <w:rsid w:val="006D11DF"/>
    <w:rsid w:val="006D2A05"/>
    <w:rsid w:val="006D2F3F"/>
    <w:rsid w:val="006D4AA5"/>
    <w:rsid w:val="006D4BCB"/>
    <w:rsid w:val="006D644B"/>
    <w:rsid w:val="006E1201"/>
    <w:rsid w:val="006F4ED2"/>
    <w:rsid w:val="00700FC1"/>
    <w:rsid w:val="007107B6"/>
    <w:rsid w:val="00716566"/>
    <w:rsid w:val="00737C2A"/>
    <w:rsid w:val="00743D15"/>
    <w:rsid w:val="0074598C"/>
    <w:rsid w:val="007468BB"/>
    <w:rsid w:val="00753E4B"/>
    <w:rsid w:val="00754E98"/>
    <w:rsid w:val="00755B0B"/>
    <w:rsid w:val="007619EF"/>
    <w:rsid w:val="00762FBE"/>
    <w:rsid w:val="00765BFB"/>
    <w:rsid w:val="00782A7A"/>
    <w:rsid w:val="007A07DF"/>
    <w:rsid w:val="007A4A33"/>
    <w:rsid w:val="007A7B9D"/>
    <w:rsid w:val="007B112B"/>
    <w:rsid w:val="007B27E3"/>
    <w:rsid w:val="007B36E6"/>
    <w:rsid w:val="007C1F7C"/>
    <w:rsid w:val="007C4F72"/>
    <w:rsid w:val="007C7720"/>
    <w:rsid w:val="007D13FB"/>
    <w:rsid w:val="007D3940"/>
    <w:rsid w:val="007E09C2"/>
    <w:rsid w:val="007E243A"/>
    <w:rsid w:val="007E3A1A"/>
    <w:rsid w:val="007F1B5C"/>
    <w:rsid w:val="00802C3F"/>
    <w:rsid w:val="008071E0"/>
    <w:rsid w:val="00807495"/>
    <w:rsid w:val="008106E0"/>
    <w:rsid w:val="008122E0"/>
    <w:rsid w:val="008168B4"/>
    <w:rsid w:val="00826274"/>
    <w:rsid w:val="00841263"/>
    <w:rsid w:val="0084602A"/>
    <w:rsid w:val="00853D71"/>
    <w:rsid w:val="00856656"/>
    <w:rsid w:val="00861C28"/>
    <w:rsid w:val="00862648"/>
    <w:rsid w:val="0087423F"/>
    <w:rsid w:val="008850B1"/>
    <w:rsid w:val="0088590F"/>
    <w:rsid w:val="008874EB"/>
    <w:rsid w:val="00892BD9"/>
    <w:rsid w:val="008938F0"/>
    <w:rsid w:val="00894E04"/>
    <w:rsid w:val="008A0336"/>
    <w:rsid w:val="008B189D"/>
    <w:rsid w:val="008B5E22"/>
    <w:rsid w:val="008B7FD4"/>
    <w:rsid w:val="008C24F7"/>
    <w:rsid w:val="008C3FD8"/>
    <w:rsid w:val="008C6915"/>
    <w:rsid w:val="008C7981"/>
    <w:rsid w:val="008D1E1D"/>
    <w:rsid w:val="008D3FB1"/>
    <w:rsid w:val="008E01B1"/>
    <w:rsid w:val="008E237C"/>
    <w:rsid w:val="008E371D"/>
    <w:rsid w:val="009036B6"/>
    <w:rsid w:val="009059DD"/>
    <w:rsid w:val="0091326C"/>
    <w:rsid w:val="0091399C"/>
    <w:rsid w:val="009142E4"/>
    <w:rsid w:val="0091550F"/>
    <w:rsid w:val="009237CD"/>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A4A16"/>
    <w:rsid w:val="009C54BA"/>
    <w:rsid w:val="009E3328"/>
    <w:rsid w:val="009E3B6A"/>
    <w:rsid w:val="009E3BD4"/>
    <w:rsid w:val="009F2D42"/>
    <w:rsid w:val="009F502C"/>
    <w:rsid w:val="009F780B"/>
    <w:rsid w:val="00A0387C"/>
    <w:rsid w:val="00A17DD2"/>
    <w:rsid w:val="00A20782"/>
    <w:rsid w:val="00A247B8"/>
    <w:rsid w:val="00A25681"/>
    <w:rsid w:val="00A262A3"/>
    <w:rsid w:val="00A4043A"/>
    <w:rsid w:val="00A46933"/>
    <w:rsid w:val="00A62EEB"/>
    <w:rsid w:val="00A63C85"/>
    <w:rsid w:val="00A758AD"/>
    <w:rsid w:val="00A80792"/>
    <w:rsid w:val="00A80CDE"/>
    <w:rsid w:val="00A82F3A"/>
    <w:rsid w:val="00A833FC"/>
    <w:rsid w:val="00A8401E"/>
    <w:rsid w:val="00A91FA7"/>
    <w:rsid w:val="00A957C5"/>
    <w:rsid w:val="00AA1120"/>
    <w:rsid w:val="00AA4BB9"/>
    <w:rsid w:val="00AB4CCF"/>
    <w:rsid w:val="00AB5699"/>
    <w:rsid w:val="00AE3D60"/>
    <w:rsid w:val="00AE68AC"/>
    <w:rsid w:val="00AF032B"/>
    <w:rsid w:val="00AF0FDF"/>
    <w:rsid w:val="00AF4B4A"/>
    <w:rsid w:val="00AF7050"/>
    <w:rsid w:val="00B03209"/>
    <w:rsid w:val="00B10489"/>
    <w:rsid w:val="00B169B1"/>
    <w:rsid w:val="00B17C01"/>
    <w:rsid w:val="00B31243"/>
    <w:rsid w:val="00B3679E"/>
    <w:rsid w:val="00B43CC4"/>
    <w:rsid w:val="00B56D6D"/>
    <w:rsid w:val="00B75217"/>
    <w:rsid w:val="00B77EB7"/>
    <w:rsid w:val="00B878D2"/>
    <w:rsid w:val="00B924BD"/>
    <w:rsid w:val="00B95EF9"/>
    <w:rsid w:val="00BA38D4"/>
    <w:rsid w:val="00BA412F"/>
    <w:rsid w:val="00BA4A3F"/>
    <w:rsid w:val="00BA6027"/>
    <w:rsid w:val="00BB5CC5"/>
    <w:rsid w:val="00BB763C"/>
    <w:rsid w:val="00BC0BFF"/>
    <w:rsid w:val="00BC428D"/>
    <w:rsid w:val="00BD6411"/>
    <w:rsid w:val="00BE6351"/>
    <w:rsid w:val="00BF3671"/>
    <w:rsid w:val="00BF4F0B"/>
    <w:rsid w:val="00BF53C0"/>
    <w:rsid w:val="00BF5614"/>
    <w:rsid w:val="00C0412F"/>
    <w:rsid w:val="00C07526"/>
    <w:rsid w:val="00C07851"/>
    <w:rsid w:val="00C16D78"/>
    <w:rsid w:val="00C211BC"/>
    <w:rsid w:val="00C22C11"/>
    <w:rsid w:val="00C3199D"/>
    <w:rsid w:val="00C37073"/>
    <w:rsid w:val="00C54060"/>
    <w:rsid w:val="00C540FC"/>
    <w:rsid w:val="00C54DD9"/>
    <w:rsid w:val="00C57F4A"/>
    <w:rsid w:val="00C6065C"/>
    <w:rsid w:val="00C65F5B"/>
    <w:rsid w:val="00C700EB"/>
    <w:rsid w:val="00C76077"/>
    <w:rsid w:val="00C82CDD"/>
    <w:rsid w:val="00C84193"/>
    <w:rsid w:val="00C846DE"/>
    <w:rsid w:val="00C87F73"/>
    <w:rsid w:val="00C969D7"/>
    <w:rsid w:val="00C97B3E"/>
    <w:rsid w:val="00CA269C"/>
    <w:rsid w:val="00CC185F"/>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2455"/>
    <w:rsid w:val="00D53AF3"/>
    <w:rsid w:val="00D54F3D"/>
    <w:rsid w:val="00D5564E"/>
    <w:rsid w:val="00D5596D"/>
    <w:rsid w:val="00D663D3"/>
    <w:rsid w:val="00D70E7C"/>
    <w:rsid w:val="00D77625"/>
    <w:rsid w:val="00D7770E"/>
    <w:rsid w:val="00D83F9E"/>
    <w:rsid w:val="00D9470E"/>
    <w:rsid w:val="00D95201"/>
    <w:rsid w:val="00DA3001"/>
    <w:rsid w:val="00DA459A"/>
    <w:rsid w:val="00DB557B"/>
    <w:rsid w:val="00DB59D2"/>
    <w:rsid w:val="00DC30D3"/>
    <w:rsid w:val="00DD0AA3"/>
    <w:rsid w:val="00DE09B4"/>
    <w:rsid w:val="00DE2E10"/>
    <w:rsid w:val="00DF372C"/>
    <w:rsid w:val="00DF38A5"/>
    <w:rsid w:val="00E01C63"/>
    <w:rsid w:val="00E0389B"/>
    <w:rsid w:val="00E42DE3"/>
    <w:rsid w:val="00E454A2"/>
    <w:rsid w:val="00E46FD1"/>
    <w:rsid w:val="00E51BBF"/>
    <w:rsid w:val="00E732B8"/>
    <w:rsid w:val="00E74C87"/>
    <w:rsid w:val="00E80C5C"/>
    <w:rsid w:val="00E821B8"/>
    <w:rsid w:val="00E863D4"/>
    <w:rsid w:val="00E90D17"/>
    <w:rsid w:val="00E92FD5"/>
    <w:rsid w:val="00EA0280"/>
    <w:rsid w:val="00EA377C"/>
    <w:rsid w:val="00EB04B0"/>
    <w:rsid w:val="00EC544C"/>
    <w:rsid w:val="00EC77A6"/>
    <w:rsid w:val="00EC7A4A"/>
    <w:rsid w:val="00ED11AA"/>
    <w:rsid w:val="00EE22AA"/>
    <w:rsid w:val="00EF238D"/>
    <w:rsid w:val="00EF5909"/>
    <w:rsid w:val="00F108C4"/>
    <w:rsid w:val="00F10E3E"/>
    <w:rsid w:val="00F12941"/>
    <w:rsid w:val="00F14D8B"/>
    <w:rsid w:val="00F15F1C"/>
    <w:rsid w:val="00F162CE"/>
    <w:rsid w:val="00F200EB"/>
    <w:rsid w:val="00F20741"/>
    <w:rsid w:val="00F36BC5"/>
    <w:rsid w:val="00F500C7"/>
    <w:rsid w:val="00F50BEE"/>
    <w:rsid w:val="00F52963"/>
    <w:rsid w:val="00F74863"/>
    <w:rsid w:val="00F76C46"/>
    <w:rsid w:val="00F96607"/>
    <w:rsid w:val="00F97199"/>
    <w:rsid w:val="00F97455"/>
    <w:rsid w:val="00FA7083"/>
    <w:rsid w:val="00FB5539"/>
    <w:rsid w:val="00FB575D"/>
    <w:rsid w:val="00FC06EC"/>
    <w:rsid w:val="00FC7F26"/>
    <w:rsid w:val="00FD2175"/>
    <w:rsid w:val="00FD60B3"/>
    <w:rsid w:val="00FE5272"/>
    <w:rsid w:val="00FF0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225D15"/>
  <w15:chartTrackingRefBased/>
  <w15:docId w15:val="{0C22360C-B8DC-4250-893D-8C88545E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C8D"/>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1B5C8D"/>
    <w:rPr>
      <w:rFonts w:ascii="Arial" w:hAnsi="Arial"/>
      <w:color w:val="000000"/>
      <w:sz w:val="22"/>
      <w:szCs w:val="24"/>
      <w:lang w:eastAsia="en-US"/>
    </w:rPr>
  </w:style>
  <w:style w:type="paragraph" w:styleId="Listenabsatz">
    <w:name w:val="List Paragraph"/>
    <w:basedOn w:val="Standard"/>
    <w:uiPriority w:val="34"/>
    <w:qFormat/>
    <w:rsid w:val="00A63C85"/>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97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DA1D6-9033-45E3-A625-212233960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5960</Characters>
  <Application>Microsoft Office Word</Application>
  <DocSecurity>0</DocSecurity>
  <Lines>49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cp:keywords/>
  <dc:description/>
  <cp:lastModifiedBy>Fuker Michael</cp:lastModifiedBy>
  <cp:revision>42</cp:revision>
  <cp:lastPrinted>2006-02-13T12:39:00Z</cp:lastPrinted>
  <dcterms:created xsi:type="dcterms:W3CDTF">2020-08-25T08:02:00Z</dcterms:created>
  <dcterms:modified xsi:type="dcterms:W3CDTF">2020-08-28T09:38:00Z</dcterms:modified>
</cp:coreProperties>
</file>